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0A0" w:firstRow="1" w:lastRow="0" w:firstColumn="1" w:lastColumn="0" w:noHBand="0" w:noVBand="0"/>
      </w:tblPr>
      <w:tblGrid>
        <w:gridCol w:w="2799"/>
        <w:gridCol w:w="2409"/>
        <w:gridCol w:w="3818"/>
      </w:tblGrid>
      <w:tr w:rsidR="000B4485" w:rsidRPr="00C83487" w:rsidTr="00DC60A0">
        <w:trPr>
          <w:jc w:val="center"/>
        </w:trPr>
        <w:tc>
          <w:tcPr>
            <w:tcW w:w="3396" w:type="dxa"/>
            <w:vAlign w:val="center"/>
          </w:tcPr>
          <w:p w:rsidR="005C1551" w:rsidRPr="00540A22" w:rsidRDefault="00540A22" w:rsidP="005C1551">
            <w:pPr>
              <w:rPr>
                <w:b/>
                <w:sz w:val="22"/>
                <w:szCs w:val="20"/>
                <w:lang w:val="hr-HR"/>
              </w:rPr>
            </w:pPr>
            <w:bookmarkStart w:id="0" w:name="_GoBack"/>
            <w:bookmarkEnd w:id="0"/>
            <w:r w:rsidRPr="00540A22">
              <w:rPr>
                <w:b/>
                <w:sz w:val="22"/>
                <w:szCs w:val="20"/>
              </w:rPr>
              <w:t>Ministarstvo zaštite okoliša i prirode</w:t>
            </w:r>
            <w:r w:rsidR="005C1551" w:rsidRPr="00540A22">
              <w:rPr>
                <w:b/>
                <w:sz w:val="22"/>
                <w:szCs w:val="20"/>
                <w:lang w:val="hr-HR"/>
              </w:rPr>
              <w:t xml:space="preserve"> </w:t>
            </w:r>
          </w:p>
          <w:p w:rsidR="00540A22" w:rsidRPr="00540A22" w:rsidRDefault="00540A22" w:rsidP="005C1551">
            <w:pPr>
              <w:rPr>
                <w:b/>
                <w:sz w:val="22"/>
                <w:szCs w:val="20"/>
              </w:rPr>
            </w:pPr>
            <w:r w:rsidRPr="00540A22">
              <w:rPr>
                <w:b/>
                <w:sz w:val="22"/>
                <w:szCs w:val="20"/>
              </w:rPr>
              <w:t>Uprava za procjenu utjecaja na okoliš i održivo gospodarenje otpadom</w:t>
            </w:r>
          </w:p>
          <w:p w:rsidR="00540A22" w:rsidRPr="00540A22" w:rsidRDefault="00540A22" w:rsidP="005C1551">
            <w:pPr>
              <w:rPr>
                <w:b/>
                <w:sz w:val="22"/>
                <w:szCs w:val="20"/>
              </w:rPr>
            </w:pPr>
            <w:r w:rsidRPr="00540A22">
              <w:rPr>
                <w:b/>
                <w:sz w:val="22"/>
                <w:szCs w:val="20"/>
              </w:rPr>
              <w:t>Radnička cesta 80</w:t>
            </w:r>
          </w:p>
          <w:p w:rsidR="005C1551" w:rsidRPr="00540A22" w:rsidRDefault="005C1551" w:rsidP="005C1551">
            <w:pPr>
              <w:rPr>
                <w:b/>
                <w:sz w:val="22"/>
                <w:szCs w:val="20"/>
                <w:lang w:val="hr-HR"/>
              </w:rPr>
            </w:pPr>
            <w:r w:rsidRPr="00540A22">
              <w:rPr>
                <w:b/>
                <w:sz w:val="22"/>
                <w:szCs w:val="20"/>
                <w:lang w:val="hr-HR"/>
              </w:rPr>
              <w:t>10 000 Zagreb</w:t>
            </w:r>
          </w:p>
          <w:p w:rsidR="00433880" w:rsidRPr="00540A22" w:rsidRDefault="00433880" w:rsidP="005C1551">
            <w:pPr>
              <w:jc w:val="both"/>
              <w:rPr>
                <w:b/>
                <w:sz w:val="22"/>
                <w:szCs w:val="20"/>
                <w:lang w:val="hr-HR"/>
              </w:rPr>
            </w:pPr>
          </w:p>
          <w:p w:rsidR="005C1551" w:rsidRPr="00540A22" w:rsidRDefault="005C1551" w:rsidP="005C1551">
            <w:pPr>
              <w:jc w:val="both"/>
              <w:rPr>
                <w:b/>
                <w:sz w:val="22"/>
                <w:szCs w:val="20"/>
                <w:lang w:val="hr-HR"/>
              </w:rPr>
            </w:pPr>
            <w:r w:rsidRPr="00540A22">
              <w:rPr>
                <w:b/>
                <w:sz w:val="22"/>
                <w:szCs w:val="20"/>
                <w:lang w:val="hr-HR"/>
              </w:rPr>
              <w:t xml:space="preserve">U Zagrebu, </w:t>
            </w:r>
          </w:p>
          <w:p w:rsidR="000B4485" w:rsidRPr="00C83487" w:rsidRDefault="00540A22" w:rsidP="005C1551">
            <w:pPr>
              <w:jc w:val="both"/>
              <w:rPr>
                <w:sz w:val="22"/>
                <w:lang w:val="it-IT"/>
              </w:rPr>
            </w:pPr>
            <w:r w:rsidRPr="00540A22">
              <w:rPr>
                <w:b/>
                <w:sz w:val="22"/>
                <w:szCs w:val="20"/>
                <w:lang w:val="hr-HR"/>
              </w:rPr>
              <w:t>15</w:t>
            </w:r>
            <w:r w:rsidR="005C1551" w:rsidRPr="00540A22">
              <w:rPr>
                <w:b/>
                <w:sz w:val="22"/>
                <w:szCs w:val="20"/>
                <w:lang w:val="hr-HR"/>
              </w:rPr>
              <w:t>.</w:t>
            </w:r>
            <w:r w:rsidR="00580CB5" w:rsidRPr="00540A22">
              <w:rPr>
                <w:b/>
                <w:sz w:val="22"/>
                <w:szCs w:val="20"/>
                <w:lang w:val="hr-HR"/>
              </w:rPr>
              <w:t xml:space="preserve"> </w:t>
            </w:r>
            <w:r w:rsidRPr="00540A22">
              <w:rPr>
                <w:b/>
                <w:sz w:val="22"/>
                <w:szCs w:val="20"/>
                <w:lang w:val="hr-HR"/>
              </w:rPr>
              <w:t>listopada</w:t>
            </w:r>
            <w:r w:rsidR="005C1551" w:rsidRPr="00540A22">
              <w:rPr>
                <w:b/>
                <w:sz w:val="22"/>
                <w:szCs w:val="20"/>
                <w:lang w:val="hr-HR"/>
              </w:rPr>
              <w:t xml:space="preserve">, </w:t>
            </w:r>
            <w:r w:rsidRPr="00540A22">
              <w:rPr>
                <w:b/>
                <w:sz w:val="22"/>
                <w:szCs w:val="20"/>
                <w:lang w:val="hr-HR"/>
              </w:rPr>
              <w:t>2015</w:t>
            </w:r>
            <w:r w:rsidR="005C1551" w:rsidRPr="00540A22">
              <w:rPr>
                <w:b/>
                <w:sz w:val="22"/>
                <w:szCs w:val="20"/>
                <w:lang w:val="hr-HR"/>
              </w:rPr>
              <w:t>. godine</w:t>
            </w:r>
          </w:p>
        </w:tc>
        <w:tc>
          <w:tcPr>
            <w:tcW w:w="3396" w:type="dxa"/>
            <w:vAlign w:val="center"/>
          </w:tcPr>
          <w:p w:rsidR="000B4485" w:rsidRPr="00C83487" w:rsidRDefault="000B4485" w:rsidP="00DC60A0">
            <w:pPr>
              <w:jc w:val="center"/>
              <w:rPr>
                <w:sz w:val="22"/>
                <w:lang w:val="it-IT"/>
              </w:rPr>
            </w:pPr>
          </w:p>
          <w:p w:rsidR="000B4485" w:rsidRPr="00C83487" w:rsidRDefault="000B4485" w:rsidP="00DC60A0">
            <w:pPr>
              <w:jc w:val="center"/>
              <w:rPr>
                <w:sz w:val="22"/>
                <w:lang w:val="it-IT"/>
              </w:rPr>
            </w:pPr>
          </w:p>
          <w:p w:rsidR="000B4485" w:rsidRPr="00C83487" w:rsidRDefault="000B4485" w:rsidP="00DC60A0">
            <w:pPr>
              <w:jc w:val="center"/>
              <w:rPr>
                <w:sz w:val="22"/>
                <w:lang w:val="it-IT"/>
              </w:rPr>
            </w:pPr>
          </w:p>
        </w:tc>
        <w:tc>
          <w:tcPr>
            <w:tcW w:w="3396" w:type="dxa"/>
            <w:vAlign w:val="center"/>
          </w:tcPr>
          <w:p w:rsidR="000B4485" w:rsidRPr="00C83487" w:rsidRDefault="00D103D5" w:rsidP="00DC60A0">
            <w:pPr>
              <w:jc w:val="right"/>
              <w:rPr>
                <w:sz w:val="22"/>
                <w:lang w:val="it-IT"/>
              </w:rPr>
            </w:pPr>
            <w:r>
              <w:rPr>
                <w:b/>
                <w:noProof/>
                <w:sz w:val="22"/>
                <w:lang w:val="hr-HR" w:eastAsia="hr-HR"/>
              </w:rPr>
              <w:drawing>
                <wp:inline distT="0" distB="0" distL="0" distR="0">
                  <wp:extent cx="2268220" cy="1009650"/>
                  <wp:effectExtent l="19050" t="0" r="0" b="0"/>
                  <wp:docPr id="1" name="Picture 1" descr="za-foe no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foe novi"/>
                          <pic:cNvPicPr>
                            <a:picLocks noChangeAspect="1" noChangeArrowheads="1"/>
                          </pic:cNvPicPr>
                        </pic:nvPicPr>
                        <pic:blipFill>
                          <a:blip r:embed="rId8" cstate="print"/>
                          <a:srcRect/>
                          <a:stretch>
                            <a:fillRect/>
                          </a:stretch>
                        </pic:blipFill>
                        <pic:spPr bwMode="auto">
                          <a:xfrm>
                            <a:off x="0" y="0"/>
                            <a:ext cx="2268220" cy="1009650"/>
                          </a:xfrm>
                          <a:prstGeom prst="rect">
                            <a:avLst/>
                          </a:prstGeom>
                          <a:noFill/>
                          <a:ln w="9525">
                            <a:noFill/>
                            <a:miter lim="800000"/>
                            <a:headEnd/>
                            <a:tailEnd/>
                          </a:ln>
                        </pic:spPr>
                      </pic:pic>
                    </a:graphicData>
                  </a:graphic>
                </wp:inline>
              </w:drawing>
            </w:r>
          </w:p>
        </w:tc>
      </w:tr>
    </w:tbl>
    <w:p w:rsidR="005C1551" w:rsidRDefault="005C1551" w:rsidP="00D44520">
      <w:pPr>
        <w:rPr>
          <w:rFonts w:ascii="Arial" w:hAnsi="Arial" w:cs="Arial"/>
          <w:b/>
          <w:sz w:val="20"/>
          <w:szCs w:val="20"/>
          <w:lang w:val="hr-HR"/>
        </w:rPr>
      </w:pPr>
    </w:p>
    <w:p w:rsidR="00F34E88" w:rsidRDefault="00F34E88" w:rsidP="00D44520">
      <w:pPr>
        <w:rPr>
          <w:rFonts w:ascii="Arial" w:hAnsi="Arial" w:cs="Arial"/>
          <w:b/>
          <w:sz w:val="20"/>
          <w:szCs w:val="20"/>
          <w:lang w:val="hr-HR"/>
        </w:rPr>
      </w:pPr>
      <w:r>
        <w:rPr>
          <w:rFonts w:ascii="Arial" w:hAnsi="Arial" w:cs="Arial"/>
          <w:b/>
          <w:sz w:val="20"/>
          <w:szCs w:val="20"/>
          <w:lang w:val="hr-HR"/>
        </w:rPr>
        <w:t xml:space="preserve">  Ur. br.: 07-25/102015 </w:t>
      </w:r>
    </w:p>
    <w:p w:rsidR="005C1551" w:rsidRDefault="005C1551" w:rsidP="00D44520">
      <w:pPr>
        <w:rPr>
          <w:rFonts w:ascii="Arial" w:hAnsi="Arial" w:cs="Arial"/>
          <w:b/>
          <w:sz w:val="20"/>
          <w:szCs w:val="20"/>
          <w:lang w:val="hr-HR"/>
        </w:rPr>
      </w:pPr>
    </w:p>
    <w:p w:rsidR="005C1551" w:rsidRPr="00635C78" w:rsidRDefault="005C1551" w:rsidP="00D44520">
      <w:pPr>
        <w:rPr>
          <w:b/>
          <w:szCs w:val="20"/>
          <w:lang w:val="hr-HR"/>
        </w:rPr>
      </w:pPr>
    </w:p>
    <w:p w:rsidR="0091341A" w:rsidRPr="007100B8" w:rsidRDefault="00BF4822" w:rsidP="00D44520">
      <w:pPr>
        <w:rPr>
          <w:b/>
          <w:sz w:val="28"/>
          <w:szCs w:val="26"/>
          <w:lang w:val="hr-HR"/>
        </w:rPr>
      </w:pPr>
      <w:r w:rsidRPr="007100B8">
        <w:rPr>
          <w:b/>
          <w:sz w:val="28"/>
          <w:szCs w:val="26"/>
          <w:lang w:val="hr-HR"/>
        </w:rPr>
        <w:t>Komentari</w:t>
      </w:r>
      <w:r w:rsidR="00D44520" w:rsidRPr="007100B8">
        <w:rPr>
          <w:b/>
          <w:sz w:val="28"/>
          <w:szCs w:val="26"/>
          <w:lang w:val="hr-HR"/>
        </w:rPr>
        <w:t xml:space="preserve"> na </w:t>
      </w:r>
      <w:r w:rsidR="00540A22" w:rsidRPr="007100B8">
        <w:rPr>
          <w:b/>
          <w:sz w:val="28"/>
          <w:szCs w:val="26"/>
          <w:lang w:val="hr-HR"/>
        </w:rPr>
        <w:t>nacrt</w:t>
      </w:r>
      <w:r w:rsidR="0091341A" w:rsidRPr="007100B8">
        <w:rPr>
          <w:b/>
          <w:sz w:val="28"/>
          <w:szCs w:val="26"/>
          <w:lang w:val="hr-HR"/>
        </w:rPr>
        <w:t xml:space="preserve"> Plana gospodarenja otpadom </w:t>
      </w:r>
      <w:r w:rsidR="00540A22" w:rsidRPr="007100B8">
        <w:rPr>
          <w:b/>
          <w:sz w:val="28"/>
          <w:szCs w:val="26"/>
          <w:lang w:val="hr-HR"/>
        </w:rPr>
        <w:t>Republike Hrvatske 2015.-</w:t>
      </w:r>
      <w:r w:rsidR="00635C78" w:rsidRPr="007100B8">
        <w:rPr>
          <w:b/>
          <w:sz w:val="28"/>
          <w:szCs w:val="26"/>
          <w:lang w:val="hr-HR"/>
        </w:rPr>
        <w:t>2021.</w:t>
      </w:r>
    </w:p>
    <w:p w:rsidR="00BF4822" w:rsidRPr="00500525" w:rsidRDefault="00BF4822" w:rsidP="00D44520">
      <w:pPr>
        <w:rPr>
          <w:rFonts w:ascii="Arial" w:hAnsi="Arial" w:cs="Arial"/>
          <w:b/>
          <w:sz w:val="20"/>
          <w:szCs w:val="20"/>
          <w:lang w:val="hr-HR"/>
        </w:rPr>
      </w:pPr>
    </w:p>
    <w:p w:rsidR="00BF4822" w:rsidRPr="00500525" w:rsidRDefault="00BF4822" w:rsidP="00D44520">
      <w:pPr>
        <w:rPr>
          <w:rFonts w:ascii="Arial" w:hAnsi="Arial" w:cs="Arial"/>
          <w:b/>
          <w:sz w:val="20"/>
          <w:szCs w:val="20"/>
          <w:lang w:val="hr-HR"/>
        </w:rPr>
      </w:pPr>
    </w:p>
    <w:p w:rsidR="00635C78" w:rsidRPr="005C7A1A" w:rsidRDefault="00635C78" w:rsidP="00540A22">
      <w:pPr>
        <w:jc w:val="both"/>
      </w:pPr>
      <w:r w:rsidRPr="00635C78">
        <w:rPr>
          <w:b/>
          <w:u w:val="single"/>
        </w:rPr>
        <w:t>CITAT</w:t>
      </w:r>
    </w:p>
    <w:p w:rsidR="00635C78" w:rsidRPr="005C7A1A" w:rsidRDefault="00635C78" w:rsidP="00540A22">
      <w:pPr>
        <w:jc w:val="both"/>
      </w:pPr>
      <w:r w:rsidRPr="005C7A1A">
        <w:t>str.7, r. 10, 11</w:t>
      </w:r>
    </w:p>
    <w:p w:rsidR="00635C78" w:rsidRPr="005C7A1A" w:rsidRDefault="00635C78" w:rsidP="00540A22">
      <w:pPr>
        <w:jc w:val="both"/>
      </w:pPr>
      <w:r w:rsidRPr="005C7A1A">
        <w:t>„…Zakonom propisani red prvenstva gospodarenja otpadom provodeći mjere kojima se potiču   rješenja koja nude najbolji ishod za okoliš…“</w:t>
      </w:r>
    </w:p>
    <w:p w:rsidR="00635C78" w:rsidRDefault="00635C78" w:rsidP="00540A22">
      <w:pPr>
        <w:jc w:val="both"/>
        <w:rPr>
          <w:b/>
        </w:rPr>
      </w:pPr>
    </w:p>
    <w:p w:rsidR="00635C78" w:rsidRPr="005C7A1A" w:rsidRDefault="00635C78" w:rsidP="00540A22">
      <w:pPr>
        <w:jc w:val="both"/>
      </w:pPr>
      <w:r w:rsidRPr="00FF4E24">
        <w:rPr>
          <w:b/>
        </w:rPr>
        <w:t>KOMENTAR I PREPORUKA</w:t>
      </w:r>
    </w:p>
    <w:p w:rsidR="00635C78" w:rsidRPr="005C7A1A" w:rsidRDefault="00635C78" w:rsidP="00540A22">
      <w:pPr>
        <w:jc w:val="both"/>
      </w:pPr>
      <w:r w:rsidRPr="005C7A1A">
        <w:t xml:space="preserve">Ovim </w:t>
      </w:r>
      <w:r>
        <w:t>prijedlogom Plana</w:t>
      </w:r>
      <w:r w:rsidRPr="005C7A1A">
        <w:t xml:space="preserve"> krši se Zakon jer se ne poštuje spomenuti red prvenstva</w:t>
      </w:r>
      <w:r w:rsidR="007100B8">
        <w:t>,</w:t>
      </w:r>
      <w:r w:rsidRPr="005C7A1A">
        <w:t xml:space="preserve"> budući da</w:t>
      </w:r>
      <w:r>
        <w:t xml:space="preserve"> se najviše ulaže u mjere koje po</w:t>
      </w:r>
      <w:r w:rsidRPr="005C7A1A">
        <w:t xml:space="preserve"> njemu nisu prioritetne</w:t>
      </w:r>
      <w:r>
        <w:t>, a u potpunosti zanemaruje analizu prioritetnih mjera i ulaganje u njih</w:t>
      </w:r>
      <w:r w:rsidRPr="005C7A1A">
        <w:t>.</w:t>
      </w:r>
    </w:p>
    <w:p w:rsidR="00635C78" w:rsidRPr="005C7A1A" w:rsidRDefault="00635C78" w:rsidP="00540A22">
      <w:pPr>
        <w:jc w:val="both"/>
      </w:pPr>
    </w:p>
    <w:p w:rsidR="00635C78" w:rsidRPr="005C7A1A" w:rsidRDefault="00635C78" w:rsidP="00540A22">
      <w:pPr>
        <w:jc w:val="both"/>
      </w:pPr>
      <w:r w:rsidRPr="00635C78">
        <w:rPr>
          <w:b/>
          <w:u w:val="single"/>
        </w:rPr>
        <w:t>CITAT</w:t>
      </w:r>
    </w:p>
    <w:p w:rsidR="00635C78" w:rsidRPr="005C7A1A" w:rsidRDefault="00635C78" w:rsidP="00540A22">
      <w:pPr>
        <w:jc w:val="both"/>
      </w:pPr>
      <w:r w:rsidRPr="005C7A1A">
        <w:t>str.7, r. 16, 17</w:t>
      </w:r>
    </w:p>
    <w:p w:rsidR="00635C78" w:rsidRPr="005C7A1A" w:rsidRDefault="00635C78" w:rsidP="00540A22">
      <w:pPr>
        <w:jc w:val="both"/>
      </w:pPr>
      <w:r w:rsidRPr="005C7A1A">
        <w:t xml:space="preserve">„Nastavno </w:t>
      </w:r>
      <w:proofErr w:type="gramStart"/>
      <w:r w:rsidRPr="005C7A1A">
        <w:t>na</w:t>
      </w:r>
      <w:proofErr w:type="gramEnd"/>
      <w:r w:rsidRPr="005C7A1A">
        <w:t xml:space="preserve"> viziju i ciljeve gospodarenja otpadom u RH do 2025. </w:t>
      </w:r>
      <w:proofErr w:type="gramStart"/>
      <w:r w:rsidRPr="005C7A1A">
        <w:t>godine</w:t>
      </w:r>
      <w:proofErr w:type="gramEnd"/>
      <w:r w:rsidRPr="005C7A1A">
        <w:t xml:space="preserve">, definirane Strategijom gospodarenja otpadom (NN 130/05) i važeće nacionalne propise Plan ima za zadatak </w:t>
      </w:r>
      <w:r w:rsidRPr="005C7A1A">
        <w:rPr>
          <w:i/>
          <w:iCs/>
        </w:rPr>
        <w:t>uspostavu</w:t>
      </w:r>
      <w:r w:rsidRPr="005C7A1A">
        <w:t xml:space="preserve"> </w:t>
      </w:r>
      <w:r w:rsidRPr="005C7A1A">
        <w:rPr>
          <w:i/>
          <w:iCs/>
        </w:rPr>
        <w:t>cjelovitog i učinkovitog sustava gospodarenja otpadom</w:t>
      </w:r>
      <w:r w:rsidRPr="005C7A1A">
        <w:t>…“</w:t>
      </w:r>
    </w:p>
    <w:p w:rsidR="00635C78" w:rsidRDefault="00635C78" w:rsidP="00540A22">
      <w:pPr>
        <w:jc w:val="both"/>
        <w:rPr>
          <w:b/>
        </w:rPr>
      </w:pPr>
    </w:p>
    <w:p w:rsidR="00635C78" w:rsidRPr="005C7A1A" w:rsidRDefault="00635C78" w:rsidP="00540A22">
      <w:pPr>
        <w:jc w:val="both"/>
      </w:pPr>
      <w:r w:rsidRPr="00FF4E24">
        <w:rPr>
          <w:b/>
        </w:rPr>
        <w:t>KOMENTAR I PREPORUKA</w:t>
      </w:r>
    </w:p>
    <w:p w:rsidR="00635C78" w:rsidRPr="005C7A1A" w:rsidRDefault="00635C78" w:rsidP="00540A22">
      <w:pPr>
        <w:jc w:val="both"/>
        <w:rPr>
          <w:color w:val="000000"/>
        </w:rPr>
      </w:pPr>
      <w:r w:rsidRPr="005C7A1A">
        <w:rPr>
          <w:color w:val="000000"/>
        </w:rPr>
        <w:t xml:space="preserve">Strategija gospodarenja otpadom RH neusklađena je </w:t>
      </w:r>
      <w:proofErr w:type="gramStart"/>
      <w:r w:rsidRPr="005C7A1A">
        <w:rPr>
          <w:color w:val="000000"/>
        </w:rPr>
        <w:t>sa</w:t>
      </w:r>
      <w:proofErr w:type="gramEnd"/>
      <w:r w:rsidRPr="005C7A1A">
        <w:rPr>
          <w:color w:val="000000"/>
        </w:rPr>
        <w:t xml:space="preserve"> nacionalnim zakonodavstvom te sa EU direktivom o otpadu i odlagalištima. Strategija propisuje tek 18% odvojeno prikupljenog otpada 2020. </w:t>
      </w:r>
      <w:proofErr w:type="gramStart"/>
      <w:r w:rsidRPr="005C7A1A">
        <w:rPr>
          <w:color w:val="000000"/>
        </w:rPr>
        <w:t>godine</w:t>
      </w:r>
      <w:proofErr w:type="gramEnd"/>
      <w:r w:rsidRPr="005C7A1A">
        <w:rPr>
          <w:color w:val="000000"/>
        </w:rPr>
        <w:t xml:space="preserve">, što je apsolutno promašeno jer novi Zakon i EU direktiva o otpadu propisuju 50% odvojeno prikupljenog otpada 2020. Ista je stvar i </w:t>
      </w:r>
      <w:proofErr w:type="gramStart"/>
      <w:r w:rsidRPr="005C7A1A">
        <w:rPr>
          <w:color w:val="000000"/>
        </w:rPr>
        <w:t>sa</w:t>
      </w:r>
      <w:proofErr w:type="gramEnd"/>
      <w:r w:rsidRPr="005C7A1A">
        <w:rPr>
          <w:color w:val="000000"/>
        </w:rPr>
        <w:t xml:space="preserve"> količinom biorazgradivog otpada na odlagalištima - Strategija za 2015. </w:t>
      </w:r>
      <w:proofErr w:type="gramStart"/>
      <w:r w:rsidRPr="005C7A1A">
        <w:rPr>
          <w:color w:val="000000"/>
        </w:rPr>
        <w:t>godinu</w:t>
      </w:r>
      <w:proofErr w:type="gramEnd"/>
      <w:r w:rsidRPr="005C7A1A">
        <w:rPr>
          <w:color w:val="000000"/>
        </w:rPr>
        <w:t xml:space="preserve"> propisuje smanjenje količine odloženoga biorazgradivog komunalnog otpada za 75% od količine proizvedene 1995., dok novi Zakon i  EU direktiva o odlagalištima propisuju smanjenje o</w:t>
      </w:r>
      <w:r w:rsidR="007100B8">
        <w:rPr>
          <w:color w:val="000000"/>
        </w:rPr>
        <w:t>dlaganja biorazgradivog otpada z</w:t>
      </w:r>
      <w:r w:rsidRPr="005C7A1A">
        <w:rPr>
          <w:color w:val="000000"/>
        </w:rPr>
        <w:t xml:space="preserve">a 75% količine odložene 1997. </w:t>
      </w:r>
      <w:proofErr w:type="gramStart"/>
      <w:r w:rsidRPr="005C7A1A">
        <w:rPr>
          <w:color w:val="000000"/>
        </w:rPr>
        <w:t>već</w:t>
      </w:r>
      <w:proofErr w:type="gramEnd"/>
      <w:r w:rsidRPr="005C7A1A">
        <w:rPr>
          <w:color w:val="000000"/>
        </w:rPr>
        <w:t xml:space="preserve"> do kraja 2013. </w:t>
      </w:r>
      <w:proofErr w:type="gramStart"/>
      <w:r w:rsidRPr="005C7A1A">
        <w:rPr>
          <w:color w:val="000000"/>
        </w:rPr>
        <w:t>godine</w:t>
      </w:r>
      <w:proofErr w:type="gramEnd"/>
      <w:r w:rsidRPr="005C7A1A">
        <w:rPr>
          <w:color w:val="000000"/>
        </w:rPr>
        <w:t xml:space="preserve">. Dakle, potrebno je odustati </w:t>
      </w:r>
      <w:proofErr w:type="gramStart"/>
      <w:r w:rsidRPr="005C7A1A">
        <w:rPr>
          <w:color w:val="000000"/>
        </w:rPr>
        <w:t>od</w:t>
      </w:r>
      <w:proofErr w:type="gramEnd"/>
      <w:r w:rsidRPr="005C7A1A">
        <w:rPr>
          <w:color w:val="000000"/>
        </w:rPr>
        <w:t xml:space="preserve"> zastarjelog koncepta ogromnih c</w:t>
      </w:r>
      <w:r w:rsidR="007100B8">
        <w:rPr>
          <w:color w:val="000000"/>
        </w:rPr>
        <w:t>entara za gospodarenje otpadom</w:t>
      </w:r>
      <w:r w:rsidRPr="005C7A1A">
        <w:rPr>
          <w:color w:val="000000"/>
        </w:rPr>
        <w:t xml:space="preserve"> i proizvodnje velikih k</w:t>
      </w:r>
      <w:r w:rsidR="007100B8">
        <w:rPr>
          <w:color w:val="000000"/>
        </w:rPr>
        <w:t>oličina goriva iz otpada za spa</w:t>
      </w:r>
      <w:r w:rsidRPr="005C7A1A">
        <w:rPr>
          <w:color w:val="000000"/>
        </w:rPr>
        <w:t>ljivanje u cementarama</w:t>
      </w:r>
      <w:r>
        <w:rPr>
          <w:color w:val="000000"/>
        </w:rPr>
        <w:t>, spalionici i drugim postrojenjima</w:t>
      </w:r>
      <w:r w:rsidRPr="005C7A1A">
        <w:rPr>
          <w:color w:val="000000"/>
        </w:rPr>
        <w:t xml:space="preserve"> jer se time šteti recikliranju te se nikako neće moći unaprijediti sustav odvojenog skupljanja i recikliranja niti ispuniti propisani ciljevi, koji su puno viši od onih definiranih Strategijom.</w:t>
      </w:r>
    </w:p>
    <w:p w:rsidR="00635C78" w:rsidRPr="005C7A1A" w:rsidRDefault="00635C78" w:rsidP="00540A22">
      <w:pPr>
        <w:jc w:val="both"/>
        <w:rPr>
          <w:color w:val="000000"/>
        </w:rPr>
      </w:pPr>
    </w:p>
    <w:p w:rsidR="00635C78" w:rsidRPr="005C7A1A" w:rsidRDefault="00635C78" w:rsidP="00540A22">
      <w:pPr>
        <w:jc w:val="both"/>
        <w:rPr>
          <w:color w:val="000000"/>
        </w:rPr>
      </w:pPr>
      <w:r w:rsidRPr="00635C78">
        <w:rPr>
          <w:b/>
          <w:color w:val="000000"/>
          <w:u w:val="single"/>
        </w:rPr>
        <w:t>CITAT</w:t>
      </w:r>
    </w:p>
    <w:p w:rsidR="00635C78" w:rsidRPr="005C7A1A" w:rsidRDefault="00635C78" w:rsidP="00540A22">
      <w:pPr>
        <w:jc w:val="both"/>
        <w:rPr>
          <w:color w:val="000000"/>
        </w:rPr>
      </w:pPr>
      <w:r w:rsidRPr="005C7A1A">
        <w:rPr>
          <w:color w:val="000000"/>
        </w:rPr>
        <w:t>str.7, r. 28, 29, 30</w:t>
      </w:r>
    </w:p>
    <w:p w:rsidR="00635C78" w:rsidRPr="005C7A1A" w:rsidRDefault="00635C78" w:rsidP="00540A22">
      <w:pPr>
        <w:jc w:val="both"/>
      </w:pPr>
      <w:r w:rsidRPr="005C7A1A">
        <w:lastRenderedPageBreak/>
        <w:t xml:space="preserve">„… jedan od ciljeva Plana je svesti nastajanje otpada na </w:t>
      </w:r>
      <w:proofErr w:type="gramStart"/>
      <w:r w:rsidRPr="005C7A1A">
        <w:t>najmanju  moguću</w:t>
      </w:r>
      <w:proofErr w:type="gramEnd"/>
      <w:r w:rsidRPr="005C7A1A">
        <w:t xml:space="preserve"> mjeru, i to ne samo otpada koji nastaje u proizvodnim procesima, već sustavno, tijekom čitavog životnog ciklusa proizvoda i njegovih komponenti.“</w:t>
      </w:r>
    </w:p>
    <w:p w:rsidR="00635C78" w:rsidRPr="005C7A1A" w:rsidRDefault="00635C78" w:rsidP="00540A22">
      <w:pPr>
        <w:jc w:val="both"/>
      </w:pPr>
    </w:p>
    <w:p w:rsidR="00635C78" w:rsidRPr="005C7A1A" w:rsidRDefault="00635C78" w:rsidP="00540A22">
      <w:pPr>
        <w:jc w:val="both"/>
      </w:pPr>
    </w:p>
    <w:p w:rsidR="00635C78" w:rsidRPr="005C7A1A" w:rsidRDefault="00635C78" w:rsidP="00540A22">
      <w:pPr>
        <w:jc w:val="both"/>
      </w:pPr>
      <w:r w:rsidRPr="00FF4E24">
        <w:rPr>
          <w:b/>
        </w:rPr>
        <w:t>KOMENTAR I PREPORUKA</w:t>
      </w:r>
    </w:p>
    <w:p w:rsidR="00635C78" w:rsidRPr="005C7A1A" w:rsidRDefault="00635C78" w:rsidP="00540A22">
      <w:pPr>
        <w:jc w:val="both"/>
        <w:rPr>
          <w:color w:val="000000"/>
        </w:rPr>
      </w:pPr>
      <w:r w:rsidRPr="005C7A1A">
        <w:rPr>
          <w:color w:val="000000"/>
        </w:rPr>
        <w:t xml:space="preserve">U Planu je to jedan </w:t>
      </w:r>
      <w:proofErr w:type="gramStart"/>
      <w:r w:rsidRPr="005C7A1A">
        <w:rPr>
          <w:color w:val="000000"/>
        </w:rPr>
        <w:t>od</w:t>
      </w:r>
      <w:proofErr w:type="gramEnd"/>
      <w:r w:rsidRPr="005C7A1A">
        <w:rPr>
          <w:color w:val="000000"/>
        </w:rPr>
        <w:t xml:space="preserve"> manje važnih ciljeva ako je za suditi prema financijama predviđenim za njegovu provedbu. One su preniske za jedan prioritetan korak koji bi ujedno trebao biti i detaljnije razrađen.</w:t>
      </w:r>
    </w:p>
    <w:p w:rsidR="00635C78" w:rsidRPr="005C7A1A" w:rsidRDefault="00635C78" w:rsidP="00540A22">
      <w:pPr>
        <w:jc w:val="both"/>
        <w:rPr>
          <w:color w:val="000000"/>
        </w:rPr>
      </w:pPr>
    </w:p>
    <w:p w:rsidR="00635C78" w:rsidRPr="005C7A1A" w:rsidRDefault="00635C78" w:rsidP="00540A22">
      <w:pPr>
        <w:jc w:val="both"/>
        <w:rPr>
          <w:color w:val="000000"/>
        </w:rPr>
      </w:pPr>
      <w:r w:rsidRPr="00635C78">
        <w:rPr>
          <w:b/>
          <w:color w:val="000000"/>
          <w:u w:val="single"/>
        </w:rPr>
        <w:t>CITAT</w:t>
      </w:r>
    </w:p>
    <w:p w:rsidR="00635C78" w:rsidRPr="005C7A1A" w:rsidRDefault="00635C78" w:rsidP="00540A22">
      <w:pPr>
        <w:jc w:val="both"/>
        <w:rPr>
          <w:color w:val="000000"/>
        </w:rPr>
      </w:pPr>
      <w:r w:rsidRPr="005C7A1A">
        <w:rPr>
          <w:color w:val="000000"/>
        </w:rPr>
        <w:t>str. 22, r. 422, 423</w:t>
      </w:r>
    </w:p>
    <w:p w:rsidR="00635C78" w:rsidRDefault="00635C78" w:rsidP="00540A22">
      <w:pPr>
        <w:jc w:val="both"/>
      </w:pPr>
      <w:r w:rsidRPr="005C7A1A">
        <w:rPr>
          <w:color w:val="000000"/>
        </w:rPr>
        <w:t>“…</w:t>
      </w:r>
      <w:r w:rsidRPr="005C7A1A">
        <w:t xml:space="preserve"> JLS su provele sanaciju/uklanjanje više stotina lokacija na kojima je bio odbačen otpad</w:t>
      </w:r>
      <w:proofErr w:type="gramStart"/>
      <w:r w:rsidRPr="005C7A1A">
        <w:t>.“</w:t>
      </w:r>
      <w:proofErr w:type="gramEnd"/>
    </w:p>
    <w:p w:rsidR="00635C78" w:rsidRPr="005C7A1A" w:rsidRDefault="00635C78" w:rsidP="00540A22">
      <w:pPr>
        <w:jc w:val="both"/>
      </w:pPr>
    </w:p>
    <w:p w:rsidR="00635C78" w:rsidRPr="005C7A1A" w:rsidRDefault="00635C78" w:rsidP="00540A22">
      <w:pPr>
        <w:jc w:val="both"/>
      </w:pPr>
      <w:r w:rsidRPr="00FF4E24">
        <w:rPr>
          <w:b/>
        </w:rPr>
        <w:t>KOMENTAR I PREPORUKA</w:t>
      </w:r>
    </w:p>
    <w:p w:rsidR="00635C78" w:rsidRPr="005C7A1A" w:rsidRDefault="00635C78" w:rsidP="00540A22">
      <w:pPr>
        <w:jc w:val="both"/>
        <w:rPr>
          <w:color w:val="000000"/>
        </w:rPr>
      </w:pPr>
      <w:r w:rsidRPr="005C7A1A">
        <w:rPr>
          <w:color w:val="000000"/>
        </w:rPr>
        <w:t xml:space="preserve">Ovdje je potrebno navesti i podatak o tome koliko divljih odlagališta otpada, barem otprilike, postoji u RH, </w:t>
      </w:r>
      <w:proofErr w:type="gramStart"/>
      <w:r w:rsidRPr="005C7A1A">
        <w:rPr>
          <w:color w:val="000000"/>
        </w:rPr>
        <w:t>na</w:t>
      </w:r>
      <w:proofErr w:type="gramEnd"/>
      <w:r w:rsidRPr="005C7A1A">
        <w:rPr>
          <w:color w:val="000000"/>
        </w:rPr>
        <w:t xml:space="preserve"> koliko se njih trenutno provodi sanacija te podatak o tome koja su najveća divlja odlagališta i koliko na njima ima otpada</w:t>
      </w:r>
      <w:r>
        <w:rPr>
          <w:color w:val="000000"/>
        </w:rPr>
        <w:t>.</w:t>
      </w:r>
    </w:p>
    <w:p w:rsidR="00635C78" w:rsidRPr="005C7A1A" w:rsidRDefault="00635C78" w:rsidP="00540A22">
      <w:pPr>
        <w:jc w:val="both"/>
        <w:rPr>
          <w:color w:val="000000"/>
        </w:rPr>
      </w:pPr>
    </w:p>
    <w:p w:rsidR="00635C78" w:rsidRPr="005C7A1A" w:rsidRDefault="00635C78" w:rsidP="00540A22">
      <w:pPr>
        <w:jc w:val="both"/>
        <w:rPr>
          <w:color w:val="000000"/>
        </w:rPr>
      </w:pPr>
      <w:r w:rsidRPr="00635C78">
        <w:rPr>
          <w:b/>
          <w:color w:val="000000"/>
          <w:u w:val="single"/>
        </w:rPr>
        <w:t>CITAT</w:t>
      </w:r>
    </w:p>
    <w:p w:rsidR="00635C78" w:rsidRPr="005C7A1A" w:rsidRDefault="00635C78" w:rsidP="00540A22">
      <w:pPr>
        <w:jc w:val="both"/>
        <w:rPr>
          <w:color w:val="000000"/>
        </w:rPr>
      </w:pPr>
      <w:r w:rsidRPr="005C7A1A">
        <w:rPr>
          <w:color w:val="000000"/>
        </w:rPr>
        <w:t>str. 34, r. 732, 733</w:t>
      </w:r>
    </w:p>
    <w:p w:rsidR="00635C78" w:rsidRPr="005C7A1A" w:rsidRDefault="00635C78" w:rsidP="00540A22">
      <w:pPr>
        <w:pStyle w:val="Default"/>
        <w:jc w:val="both"/>
      </w:pPr>
      <w:r w:rsidRPr="005C7A1A">
        <w:t xml:space="preserve">“Projekti i aktivnosti koje su započete, dovršene ili su još u tijeku mogu se podijeliti u sljedeće grupe: </w:t>
      </w:r>
    </w:p>
    <w:p w:rsidR="00635C78" w:rsidRPr="005C7A1A" w:rsidRDefault="00635C78" w:rsidP="00540A22">
      <w:pPr>
        <w:pStyle w:val="Default"/>
        <w:jc w:val="both"/>
      </w:pPr>
      <w:r w:rsidRPr="005C7A1A">
        <w:t>- Izgradnja centara za gospodarenje otpadom…”</w:t>
      </w:r>
    </w:p>
    <w:p w:rsidR="00635C78" w:rsidRPr="005C7A1A" w:rsidRDefault="00635C78" w:rsidP="00540A22">
      <w:pPr>
        <w:pStyle w:val="Default"/>
        <w:jc w:val="both"/>
      </w:pPr>
    </w:p>
    <w:p w:rsidR="00635C78" w:rsidRPr="005C7A1A" w:rsidRDefault="00635C78" w:rsidP="00540A22">
      <w:pPr>
        <w:pStyle w:val="Default"/>
        <w:jc w:val="both"/>
      </w:pPr>
      <w:r w:rsidRPr="00FF4E24">
        <w:rPr>
          <w:b/>
        </w:rPr>
        <w:t>KOMENTAR I PREPORUKA</w:t>
      </w:r>
    </w:p>
    <w:p w:rsidR="00635C78" w:rsidRPr="005C7A1A" w:rsidRDefault="007100B8" w:rsidP="00540A22">
      <w:pPr>
        <w:pStyle w:val="Default"/>
        <w:jc w:val="both"/>
      </w:pPr>
      <w:r>
        <w:t>Nedostaju potrebne analize koje bi opravdale</w:t>
      </w:r>
      <w:r w:rsidR="00635C78" w:rsidRPr="005C7A1A">
        <w:t xml:space="preserve"> prednost regionalnih centara nad lokalnima u pogledu isplativ</w:t>
      </w:r>
      <w:r>
        <w:t>osti i ekološke prihvatljivosti. Također, nedostaju analize troškova</w:t>
      </w:r>
      <w:r w:rsidR="00635C78" w:rsidRPr="005C7A1A">
        <w:t xml:space="preserve"> prijevoza otpada prvo do regionalnih centara</w:t>
      </w:r>
      <w:r>
        <w:t>,</w:t>
      </w:r>
      <w:r w:rsidR="00635C78" w:rsidRPr="005C7A1A">
        <w:t xml:space="preserve"> a potom do cementara</w:t>
      </w:r>
      <w:r w:rsidR="00635C78">
        <w:t xml:space="preserve"> i drugih postrojenja planiranih za spaljivanje</w:t>
      </w:r>
      <w:r>
        <w:t>.</w:t>
      </w:r>
      <w:r w:rsidR="00635C78" w:rsidRPr="005C7A1A">
        <w:t xml:space="preserve"> Potrebno je</w:t>
      </w:r>
      <w:r w:rsidR="00635C78" w:rsidRPr="005C7A1A">
        <w:rPr>
          <w:b/>
          <w:bCs/>
        </w:rPr>
        <w:t xml:space="preserve"> </w:t>
      </w:r>
      <w:r w:rsidR="00635C78" w:rsidRPr="005C7A1A">
        <w:t xml:space="preserve">provesti analize o isplativosti svih metoda zbrinjavanja otpada, transparentno izložiti spomenute analize te potom argumentirano objasniti zašto se prednost daje određenom sustavu gospodarenja otpadom. </w:t>
      </w:r>
    </w:p>
    <w:p w:rsidR="00635C78" w:rsidRPr="005C7A1A" w:rsidRDefault="00635C78" w:rsidP="00540A22">
      <w:pPr>
        <w:pStyle w:val="Default"/>
        <w:jc w:val="both"/>
      </w:pPr>
    </w:p>
    <w:p w:rsidR="00635C78" w:rsidRPr="005C7A1A" w:rsidRDefault="00635C78" w:rsidP="00540A22">
      <w:pPr>
        <w:pStyle w:val="Default"/>
        <w:jc w:val="both"/>
      </w:pPr>
      <w:r w:rsidRPr="00635C78">
        <w:rPr>
          <w:b/>
          <w:u w:val="single"/>
        </w:rPr>
        <w:t>CITAT</w:t>
      </w:r>
    </w:p>
    <w:p w:rsidR="00635C78" w:rsidRPr="005C7A1A" w:rsidRDefault="00635C78" w:rsidP="00540A22">
      <w:pPr>
        <w:pStyle w:val="Default"/>
        <w:jc w:val="both"/>
      </w:pPr>
    </w:p>
    <w:p w:rsidR="00635C78" w:rsidRPr="005C7A1A" w:rsidRDefault="00635C78" w:rsidP="00540A22">
      <w:pPr>
        <w:pStyle w:val="Default"/>
        <w:jc w:val="both"/>
      </w:pPr>
      <w:r w:rsidRPr="005C7A1A">
        <w:t>str. 34</w:t>
      </w:r>
    </w:p>
    <w:p w:rsidR="00635C78" w:rsidRPr="005C7A1A" w:rsidRDefault="00635C78" w:rsidP="00540A22">
      <w:pPr>
        <w:pStyle w:val="Default"/>
        <w:jc w:val="both"/>
      </w:pPr>
      <w:r w:rsidRPr="005C7A1A">
        <w:t>Tablica 12. Status realizacije projekata izgradnje centara gospodarenja otpadom u RH</w:t>
      </w:r>
    </w:p>
    <w:p w:rsidR="00635C78" w:rsidRPr="005C7A1A" w:rsidRDefault="00635C78" w:rsidP="00540A22">
      <w:pPr>
        <w:pStyle w:val="Default"/>
        <w:jc w:val="both"/>
      </w:pPr>
    </w:p>
    <w:p w:rsidR="00635C78" w:rsidRPr="005C7A1A" w:rsidRDefault="00635C78" w:rsidP="00540A22">
      <w:pPr>
        <w:pStyle w:val="Default"/>
        <w:jc w:val="both"/>
      </w:pPr>
      <w:r w:rsidRPr="00FF4E24">
        <w:rPr>
          <w:b/>
        </w:rPr>
        <w:t>KOMENTAR I PREPORUKA</w:t>
      </w:r>
    </w:p>
    <w:p w:rsidR="00635C78" w:rsidRPr="005C7A1A" w:rsidRDefault="007100B8" w:rsidP="00540A22">
      <w:pPr>
        <w:pStyle w:val="Default"/>
        <w:jc w:val="both"/>
      </w:pPr>
      <w:r>
        <w:t>Prijedlog Plana</w:t>
      </w:r>
      <w:r w:rsidR="00635C78" w:rsidRPr="005C7A1A">
        <w:t xml:space="preserve"> je neusklađen s Strateškom studijom utjecaja </w:t>
      </w:r>
      <w:r>
        <w:t>prijedloga Plana na okoliš</w:t>
      </w:r>
      <w:r w:rsidR="00635C78" w:rsidRPr="005C7A1A">
        <w:t xml:space="preserve">, s obzirom da se u njoj navodi da je tehnologija koja će se korisititi u CGO već definirana kao MBO (poglavlje 1.2.1.10.4) , a ovdje se navodi da će se definirati studijom izvodljivosti za pojedine centre. Dakle, jasno je da je tehnologija već unaprijed odabrana i da su studije izvodljivosti samo zavaravanje da će CGO možda uključivati neku drugu tehnologiju. Također, s obzirom da u većini CGO nije počela niti priprema dokumentacije za prijavu projekata, a uzimajući u obzir </w:t>
      </w:r>
      <w:r w:rsidR="00635C78">
        <w:t xml:space="preserve">upitno </w:t>
      </w:r>
      <w:r w:rsidR="00635C78" w:rsidRPr="005C7A1A">
        <w:t>financiranje te dugotrajnost postupka ishođenja dozvola i izgradnje CGO, jasno je da oni</w:t>
      </w:r>
      <w:r>
        <w:t xml:space="preserve"> neće biti izgrađeni do 2018. Z</w:t>
      </w:r>
      <w:r w:rsidR="00635C78" w:rsidRPr="005C7A1A">
        <w:t xml:space="preserve">ašto se onda odabire takav koncept gospodarenja otpadom i uporno ne odustaje od koncepta zacrtanog u prošlom, zastarjelom Planu? </w:t>
      </w:r>
      <w:r>
        <w:t xml:space="preserve">Nisu </w:t>
      </w:r>
      <w:r w:rsidR="00635C78" w:rsidRPr="005C7A1A">
        <w:t>napravljene analize koje potvrđuju da je regionalni koncept bolji od rješavanja pitanja otpada na lokalnom nivou</w:t>
      </w:r>
      <w:r>
        <w:t>. Nisu</w:t>
      </w:r>
      <w:r w:rsidR="00635C78" w:rsidRPr="005C7A1A">
        <w:t xml:space="preserve"> uzeti u obzir penali za neispunjenje ciljeva odvojenog </w:t>
      </w:r>
      <w:r w:rsidR="00635C78" w:rsidRPr="005C7A1A">
        <w:lastRenderedPageBreak/>
        <w:t>prikupljanja i recikliranja, s obzirom na veliku vjerojatnost da ciljevi neće b</w:t>
      </w:r>
      <w:r>
        <w:t>iti ispunjeni ovakvim konceptom.</w:t>
      </w:r>
      <w:r w:rsidR="00635C78" w:rsidRPr="005C7A1A">
        <w:t xml:space="preserve"> Potrebno je</w:t>
      </w:r>
      <w:r w:rsidR="00635C78" w:rsidRPr="005C7A1A">
        <w:rPr>
          <w:b/>
          <w:bCs/>
        </w:rPr>
        <w:t xml:space="preserve"> </w:t>
      </w:r>
      <w:r w:rsidR="00635C78" w:rsidRPr="005C7A1A">
        <w:t>provesti analize o isplativosti svih metoda zbrinjavanja otpada, transparentno izložiti spomenute analize i argumentirano objasniti zašto se odabire određeni sustav gospodarenja otpadom.</w:t>
      </w:r>
    </w:p>
    <w:p w:rsidR="00635C78" w:rsidRPr="005C7A1A" w:rsidRDefault="00635C78" w:rsidP="00540A22">
      <w:pPr>
        <w:jc w:val="both"/>
        <w:rPr>
          <w:color w:val="000000"/>
        </w:rPr>
      </w:pPr>
    </w:p>
    <w:p w:rsidR="00635C78" w:rsidRPr="005C7A1A" w:rsidRDefault="00635C78" w:rsidP="00540A22">
      <w:pPr>
        <w:jc w:val="both"/>
      </w:pPr>
      <w:r w:rsidRPr="00635C78">
        <w:rPr>
          <w:b/>
          <w:u w:val="single"/>
        </w:rPr>
        <w:t>CITAT</w:t>
      </w:r>
    </w:p>
    <w:p w:rsidR="00635C78" w:rsidRPr="005C7A1A" w:rsidRDefault="00635C78" w:rsidP="00540A22">
      <w:pPr>
        <w:jc w:val="both"/>
      </w:pPr>
      <w:r w:rsidRPr="005C7A1A">
        <w:t>str. 38, r. 787, 788, 789</w:t>
      </w:r>
    </w:p>
    <w:p w:rsidR="00635C78" w:rsidRPr="005C7A1A" w:rsidRDefault="00635C78" w:rsidP="00540A22">
      <w:pPr>
        <w:pStyle w:val="Default"/>
        <w:jc w:val="both"/>
      </w:pPr>
      <w:r w:rsidRPr="005C7A1A">
        <w:t>“U skladu s općim ciljem strateško-planskih dokumenata vezanih za područje otpada, postignuti su značajni pomaci na uspostavljanju okvira unutar kojega će RH smanjiti količinu otpada koji nastaje, te istim održivo gospodariti.”</w:t>
      </w:r>
    </w:p>
    <w:p w:rsidR="00635C78" w:rsidRPr="005C7A1A" w:rsidRDefault="00635C78" w:rsidP="00540A22">
      <w:pPr>
        <w:pStyle w:val="Default"/>
        <w:jc w:val="both"/>
      </w:pPr>
    </w:p>
    <w:p w:rsidR="00635C78" w:rsidRPr="005C7A1A" w:rsidRDefault="00635C78" w:rsidP="00540A22">
      <w:pPr>
        <w:pStyle w:val="Default"/>
        <w:jc w:val="both"/>
      </w:pPr>
      <w:r w:rsidRPr="00FF4E24">
        <w:rPr>
          <w:b/>
        </w:rPr>
        <w:t>KOMENTAR I PREPORUKA</w:t>
      </w:r>
    </w:p>
    <w:p w:rsidR="00635C78" w:rsidRPr="005C7A1A" w:rsidRDefault="00635C78" w:rsidP="00540A22">
      <w:pPr>
        <w:pStyle w:val="Default"/>
        <w:jc w:val="both"/>
      </w:pPr>
      <w:r w:rsidRPr="005C7A1A">
        <w:t>Strateško-planski dokumenti (Strategija gospodarenja otpadom RH iz 2005. i Plan gospodarenja otpadom RH iz 2007.) imali su vrlo slabe ciljeve i mjere za smanjenje količine otpada, a čak ni ti ciljevi nisu dostignuti niti je uspostavljen dobar okvir za njihovo ispunjenje. Iz tog razloga netočno je tvrditi da su postignuti značajni pomaci, a bez ikakvih dodatnih argumenata. Također, netočno je tvrditi da je uspostavljen okvir unutar kojeg će se otpadom održivo gospodariti. Naime, održivo gospodarenje otpadom podrazumijeva da ono ide na korist građana i okoliša, a okvir koji se postavlja još od 2005. koči razvoj sustava i ni na koji način nije održiv, pogotovo kada se uzme u obzir da ovisi o proizvodnji velikih količina miješanog otpada kako bi se punila megalomanska MBO i postrojenja za spaljivanje otpada.</w:t>
      </w:r>
    </w:p>
    <w:p w:rsidR="00635C78" w:rsidRPr="005C7A1A" w:rsidRDefault="00635C78" w:rsidP="00540A22">
      <w:pPr>
        <w:pStyle w:val="Default"/>
        <w:jc w:val="both"/>
      </w:pPr>
    </w:p>
    <w:p w:rsidR="00635C78" w:rsidRPr="005C7A1A" w:rsidRDefault="00635C78" w:rsidP="00540A22">
      <w:pPr>
        <w:pStyle w:val="Default"/>
        <w:jc w:val="both"/>
      </w:pPr>
      <w:r w:rsidRPr="00635C78">
        <w:rPr>
          <w:b/>
          <w:u w:val="single"/>
        </w:rPr>
        <w:t>CITAT</w:t>
      </w:r>
    </w:p>
    <w:p w:rsidR="00635C78" w:rsidRPr="005C7A1A" w:rsidRDefault="00635C78" w:rsidP="00540A22">
      <w:pPr>
        <w:pStyle w:val="Default"/>
        <w:jc w:val="both"/>
      </w:pPr>
      <w:r w:rsidRPr="005C7A1A">
        <w:t>str. 38, r. 807, 808, 809, 810</w:t>
      </w:r>
    </w:p>
    <w:p w:rsidR="00635C78" w:rsidRPr="005C7A1A" w:rsidRDefault="00635C78" w:rsidP="00540A22">
      <w:pPr>
        <w:pStyle w:val="Default"/>
        <w:jc w:val="both"/>
      </w:pPr>
      <w:r w:rsidRPr="005C7A1A">
        <w:t>“Iako je pojačanim provođenjem mjera i aktivnosti odvojenog sakupljanja i oporabe otpada, ulaganjima u izgradnju nove infrastrukture i nabavku potrebne opreme, opsežnim aktivnostima podizanja svijesti i edukacije te poticanjem i potporom pripreme, provedbe i razvoja programa i projekata, ostvaren značajan napredak u gospodarenju komunalnim otpadom postojeći sustav nije u potpunosti zadovoljavajući.“</w:t>
      </w:r>
    </w:p>
    <w:p w:rsidR="00635C78" w:rsidRPr="005C7A1A" w:rsidRDefault="00635C78" w:rsidP="00540A22">
      <w:pPr>
        <w:pStyle w:val="Default"/>
        <w:jc w:val="both"/>
      </w:pPr>
    </w:p>
    <w:p w:rsidR="00635C78" w:rsidRPr="005C7A1A" w:rsidRDefault="00635C78" w:rsidP="00540A22">
      <w:pPr>
        <w:pStyle w:val="Default"/>
        <w:jc w:val="both"/>
      </w:pPr>
      <w:r w:rsidRPr="00FF4E24">
        <w:rPr>
          <w:b/>
        </w:rPr>
        <w:t>KOMENTAR I PREPORUKA</w:t>
      </w:r>
    </w:p>
    <w:p w:rsidR="00635C78" w:rsidRPr="005C7A1A" w:rsidRDefault="00635C78" w:rsidP="00540A22">
      <w:pPr>
        <w:autoSpaceDE w:val="0"/>
        <w:autoSpaceDN w:val="0"/>
        <w:adjustRightInd w:val="0"/>
        <w:jc w:val="both"/>
      </w:pPr>
      <w:r w:rsidRPr="005C7A1A">
        <w:rPr>
          <w:color w:val="000000"/>
        </w:rPr>
        <w:t xml:space="preserve">Navedene pojačane mjere i aktivnosti apsolutno su nedovoljne, njima nisu postignuti skoro nikakvi pozitivni pomaci, </w:t>
      </w:r>
      <w:proofErr w:type="gramStart"/>
      <w:r>
        <w:rPr>
          <w:color w:val="000000"/>
        </w:rPr>
        <w:t>na</w:t>
      </w:r>
      <w:proofErr w:type="gramEnd"/>
      <w:r>
        <w:rPr>
          <w:color w:val="000000"/>
        </w:rPr>
        <w:t xml:space="preserve"> što ukazuje i statistika. Naime, </w:t>
      </w:r>
      <w:r w:rsidRPr="005C7A1A">
        <w:rPr>
          <w:color w:val="000000"/>
        </w:rPr>
        <w:t>prema podacima EUROSTAT-a, RH spada među 3 najgore države EU po pitanju gospodarenja otpadom</w:t>
      </w:r>
      <w:r w:rsidR="007100B8">
        <w:rPr>
          <w:color w:val="000000"/>
        </w:rPr>
        <w:t xml:space="preserve"> pa su ove tvrdnje neargumentirane</w:t>
      </w:r>
      <w:r w:rsidRPr="005C7A1A">
        <w:rPr>
          <w:color w:val="000000"/>
        </w:rPr>
        <w:t>.</w:t>
      </w:r>
    </w:p>
    <w:p w:rsidR="00635C78" w:rsidRPr="005C7A1A" w:rsidRDefault="00635C78" w:rsidP="00540A22">
      <w:pPr>
        <w:pStyle w:val="Default"/>
        <w:jc w:val="both"/>
      </w:pPr>
    </w:p>
    <w:p w:rsidR="00635C78" w:rsidRPr="005C7A1A" w:rsidRDefault="00635C78" w:rsidP="00540A22">
      <w:pPr>
        <w:pStyle w:val="Default"/>
        <w:jc w:val="both"/>
      </w:pPr>
    </w:p>
    <w:p w:rsidR="00635C78" w:rsidRPr="005C7A1A" w:rsidRDefault="00635C78" w:rsidP="00540A22">
      <w:pPr>
        <w:pStyle w:val="Default"/>
        <w:jc w:val="both"/>
      </w:pPr>
      <w:r w:rsidRPr="00635C78">
        <w:rPr>
          <w:b/>
          <w:u w:val="single"/>
        </w:rPr>
        <w:t>CITAT</w:t>
      </w:r>
      <w:r w:rsidRPr="005C7A1A">
        <w:t xml:space="preserve"> </w:t>
      </w:r>
    </w:p>
    <w:p w:rsidR="00635C78" w:rsidRPr="005C7A1A" w:rsidRDefault="00635C78" w:rsidP="00540A22">
      <w:pPr>
        <w:pStyle w:val="Default"/>
        <w:jc w:val="both"/>
      </w:pPr>
      <w:r w:rsidRPr="005C7A1A">
        <w:t>str. 39, r. 834, 835</w:t>
      </w:r>
    </w:p>
    <w:p w:rsidR="00635C78" w:rsidRPr="005C7A1A" w:rsidRDefault="00635C78" w:rsidP="00540A22">
      <w:pPr>
        <w:pStyle w:val="Default"/>
        <w:jc w:val="both"/>
      </w:pPr>
      <w:r w:rsidRPr="005C7A1A">
        <w:t>„U tu svrhu potrebno je povećati dinamiku uspostave  centara za gospodarenje otpadom te osigurati odgovarajuće kapacitete za energetsku oporabu otpada…”</w:t>
      </w:r>
    </w:p>
    <w:p w:rsidR="00635C78" w:rsidRPr="005C7A1A" w:rsidRDefault="00635C78" w:rsidP="00540A22">
      <w:pPr>
        <w:pStyle w:val="Default"/>
        <w:jc w:val="both"/>
      </w:pPr>
    </w:p>
    <w:p w:rsidR="00635C78" w:rsidRPr="005C7A1A" w:rsidRDefault="00635C78" w:rsidP="00540A22">
      <w:pPr>
        <w:pStyle w:val="Default"/>
        <w:jc w:val="both"/>
      </w:pPr>
      <w:r w:rsidRPr="00FF4E24">
        <w:rPr>
          <w:b/>
        </w:rPr>
        <w:t>KOMENTAR I PREPORUKA</w:t>
      </w:r>
    </w:p>
    <w:p w:rsidR="00635C78" w:rsidRPr="005C7A1A" w:rsidRDefault="00635C78" w:rsidP="00540A22">
      <w:pPr>
        <w:pStyle w:val="Default"/>
        <w:jc w:val="both"/>
      </w:pPr>
      <w:r w:rsidRPr="005C7A1A">
        <w:t xml:space="preserve">Kada bi se poštivalo Zakon i europske direktive, postupalo prema hijerarhiji gospodarenja otpadom te dovoljno ulagalo u sustav odvojenog prikupljanja i recikliranja, ne bi bilo potrebno izgrađivati ni regionalne centre niti postrojenja za energetsku oporabu otpada. Takva postrojenja proizvode "lock-in effect" i dovode do dugoročne ovisnosti o proizvodnji velikih količina miješanog otpada kako bi se punili njihovi kapaciteti i kako bi bila rentabilna. Stoga je kod planiranja sustava potrebno razmišljati i dugoročno, a ne se fokusirati na velike količine miješanog otpada kojeg danas imamo, jer te će količine u budućnosti morati značajno padati u </w:t>
      </w:r>
      <w:r w:rsidRPr="005C7A1A">
        <w:lastRenderedPageBreak/>
        <w:t xml:space="preserve">korist odvojenog skupljanja otpada, a tada spaljivanje nije potrebno. Također, u obzir treba uzeti i Rezoluciju Europskog parlamenta od 10.07.2015. koja od Europske komisije traži </w:t>
      </w:r>
      <w:r w:rsidR="007100B8">
        <w:t>ukidanje</w:t>
      </w:r>
      <w:r w:rsidRPr="005C7A1A">
        <w:t xml:space="preserve"> financijskih potpora za spaljivanje i proces donošenja izmjena EU direktiva  na način da se ograniči spaljivanje otpada i traže još viši ciljevi odvojenog skupljanja i recikliranja (70%).</w:t>
      </w:r>
    </w:p>
    <w:p w:rsidR="00635C78" w:rsidRPr="005C7A1A" w:rsidRDefault="00635C78" w:rsidP="00540A22">
      <w:pPr>
        <w:pStyle w:val="Default"/>
        <w:jc w:val="both"/>
      </w:pPr>
    </w:p>
    <w:p w:rsidR="00635C78" w:rsidRPr="005C7A1A" w:rsidRDefault="00635C78" w:rsidP="00540A22">
      <w:pPr>
        <w:pStyle w:val="Default"/>
        <w:jc w:val="both"/>
      </w:pPr>
    </w:p>
    <w:p w:rsidR="00635C78" w:rsidRPr="005C7A1A" w:rsidRDefault="00635C78" w:rsidP="00540A22">
      <w:pPr>
        <w:pStyle w:val="Default"/>
        <w:jc w:val="both"/>
      </w:pPr>
      <w:r w:rsidRPr="00635C78">
        <w:rPr>
          <w:b/>
          <w:u w:val="single"/>
        </w:rPr>
        <w:t>CITAT</w:t>
      </w:r>
    </w:p>
    <w:p w:rsidR="00635C78" w:rsidRPr="005C7A1A" w:rsidRDefault="00635C78" w:rsidP="00540A22">
      <w:pPr>
        <w:pStyle w:val="Default"/>
        <w:jc w:val="both"/>
      </w:pPr>
      <w:r w:rsidRPr="005C7A1A">
        <w:t>str.</w:t>
      </w:r>
      <w:r>
        <w:t xml:space="preserve"> 39, r. 842, 843, 844, 845, 846</w:t>
      </w:r>
    </w:p>
    <w:p w:rsidR="00635C78" w:rsidRPr="005C7A1A" w:rsidRDefault="00635C78" w:rsidP="00540A22">
      <w:pPr>
        <w:pStyle w:val="Default"/>
        <w:jc w:val="both"/>
      </w:pPr>
      <w:r w:rsidRPr="005C7A1A">
        <w:t>“Gospodarenje opasnim otpadom također zahtjeva određeno unaprjeđenje, kako samog sustava gospodarenja opasnim otpadom, tako i raspoložive infrastrukture. Odgovarajući sustavi i kapaciteti gospodarenja uspostavljeni su za određene kategorije opasnog otpada, ali nije sustavno organizirano gospodarenje opasnim otpadom u cjelini. Opasni otpad zbog nedovoljno razvijene infrastrukture uglavnom se izvozi iz RH. “</w:t>
      </w:r>
    </w:p>
    <w:p w:rsidR="00635C78" w:rsidRPr="005C7A1A" w:rsidRDefault="00635C78" w:rsidP="00540A22">
      <w:pPr>
        <w:pStyle w:val="Default"/>
        <w:jc w:val="both"/>
      </w:pPr>
    </w:p>
    <w:p w:rsidR="00635C78" w:rsidRPr="005C7A1A" w:rsidRDefault="00635C78" w:rsidP="00540A22">
      <w:pPr>
        <w:pStyle w:val="Default"/>
        <w:jc w:val="both"/>
      </w:pPr>
      <w:r w:rsidRPr="00FF4E24">
        <w:rPr>
          <w:b/>
        </w:rPr>
        <w:t>KOMENTAR I PREPORUKA</w:t>
      </w:r>
    </w:p>
    <w:p w:rsidR="00635C78" w:rsidRPr="005C7A1A" w:rsidRDefault="00635C78" w:rsidP="00540A22">
      <w:pPr>
        <w:pStyle w:val="Default"/>
        <w:jc w:val="both"/>
      </w:pPr>
      <w:r w:rsidRPr="005C7A1A">
        <w:t>Sustav gospodarenja opasnim otpadom u RH nije uopće reguliran te takva vrsta otpada najčešće završava zajedno s ostalim na neuređenim odlagalištima ili u okolišu. Stoga je potrebno hitno donijeti nacionalni Plan gospodarenja opasnim otpadom koji će urediti sam sustav, a zatim pojedine komponente regulirati odgovarajućim pravilnicima.</w:t>
      </w:r>
    </w:p>
    <w:p w:rsidR="00635C78" w:rsidRPr="005C7A1A" w:rsidRDefault="00635C78" w:rsidP="00540A22">
      <w:pPr>
        <w:pStyle w:val="Default"/>
        <w:jc w:val="both"/>
      </w:pPr>
    </w:p>
    <w:p w:rsidR="00635C78" w:rsidRPr="005C7A1A" w:rsidRDefault="00635C78" w:rsidP="00540A22">
      <w:pPr>
        <w:pStyle w:val="Default"/>
        <w:jc w:val="both"/>
      </w:pPr>
      <w:r w:rsidRPr="00635C78">
        <w:rPr>
          <w:b/>
          <w:u w:val="single"/>
        </w:rPr>
        <w:t>CITAT</w:t>
      </w:r>
    </w:p>
    <w:p w:rsidR="00635C78" w:rsidRPr="005C7A1A" w:rsidRDefault="00635C78" w:rsidP="00540A22">
      <w:pPr>
        <w:tabs>
          <w:tab w:val="left" w:pos="1646"/>
        </w:tabs>
        <w:jc w:val="both"/>
      </w:pPr>
      <w:r w:rsidRPr="005C7A1A">
        <w:t>str. 42, r.904, 905, 906</w:t>
      </w:r>
    </w:p>
    <w:p w:rsidR="00635C78" w:rsidRPr="005C7A1A" w:rsidRDefault="00635C78" w:rsidP="00540A22">
      <w:pPr>
        <w:tabs>
          <w:tab w:val="left" w:pos="1646"/>
        </w:tabs>
        <w:jc w:val="both"/>
      </w:pPr>
      <w:r w:rsidRPr="005C7A1A">
        <w:t>„Sustav gospodarenja otpadom koji se predlaže uvažava načela zaštite okoliša i održivosti, načelo blizine i samodostatnosti obzirom na upravno-teritorijalni ustroj RH te ekonomsku opravdanost i isplativost poštujući pri tome zakonski definiran red prvenstva</w:t>
      </w:r>
      <w:proofErr w:type="gramStart"/>
      <w:r w:rsidRPr="005C7A1A">
        <w:t>.“</w:t>
      </w:r>
      <w:proofErr w:type="gramEnd"/>
    </w:p>
    <w:p w:rsidR="00635C78" w:rsidRPr="005C7A1A" w:rsidRDefault="00635C78" w:rsidP="00540A22">
      <w:pPr>
        <w:tabs>
          <w:tab w:val="left" w:pos="1646"/>
        </w:tabs>
        <w:jc w:val="both"/>
      </w:pPr>
    </w:p>
    <w:p w:rsidR="00635C78" w:rsidRPr="005C7A1A" w:rsidRDefault="00635C78" w:rsidP="00540A22">
      <w:pPr>
        <w:tabs>
          <w:tab w:val="left" w:pos="1646"/>
        </w:tabs>
        <w:jc w:val="both"/>
      </w:pPr>
      <w:r w:rsidRPr="00FF4E24">
        <w:rPr>
          <w:b/>
        </w:rPr>
        <w:t>KOMENTAR I PREPORUKA</w:t>
      </w:r>
    </w:p>
    <w:p w:rsidR="00635C78" w:rsidRPr="005C7A1A" w:rsidRDefault="00635C78" w:rsidP="00540A22">
      <w:pPr>
        <w:tabs>
          <w:tab w:val="left" w:pos="1646"/>
        </w:tabs>
        <w:jc w:val="both"/>
        <w:rPr>
          <w:color w:val="000000"/>
        </w:rPr>
      </w:pPr>
      <w:r w:rsidRPr="005C7A1A">
        <w:rPr>
          <w:color w:val="000000"/>
        </w:rPr>
        <w:t xml:space="preserve">Na temelju kojih analiza se iznosi ova tvrdnja? Red prvenstva znači da je potrebno ulagati u prioritetne korake gospodarenja otpadom i njihovim unaprjeđenjem smanjiti količinu otpada za oporabu i odlaganje. Ovaj prijedlog Plana ide u suprotnom smjeru - u detalje razrađuje niže ciljeve hijerarhije, za više ciljeve ne donosi dovoljno mjera, a postojeće mjere ne razrađuje dovoljno detaljno. Zahtijevamo izmjenu prijedloga Plana gospodarenja otpadom i njegovo usklađivanje s nacionalnim zakonodavstvom u koje su implementirani ciljevi iz EU direktiva, a </w:t>
      </w:r>
      <w:proofErr w:type="gramStart"/>
      <w:r w:rsidRPr="005C7A1A">
        <w:rPr>
          <w:color w:val="000000"/>
        </w:rPr>
        <w:t>na</w:t>
      </w:r>
      <w:proofErr w:type="gramEnd"/>
      <w:r w:rsidRPr="005C7A1A">
        <w:rPr>
          <w:color w:val="000000"/>
        </w:rPr>
        <w:t xml:space="preserve"> način da poštuje hijerarhiju gospodarenja otpadom, najviše sredstva ulaže u prevenciju nastanka otpada i reciklažu, te da način zbrinjavanja i obradu ostatnog otpada određuje tek nakon provedenih svih validnih analiza koje su za ovaj prijedlog Plana izostale.</w:t>
      </w:r>
    </w:p>
    <w:p w:rsidR="00635C78" w:rsidRPr="005C7A1A" w:rsidRDefault="00635C78" w:rsidP="00540A22">
      <w:pPr>
        <w:tabs>
          <w:tab w:val="left" w:pos="1646"/>
        </w:tabs>
        <w:jc w:val="both"/>
        <w:rPr>
          <w:color w:val="000000"/>
        </w:rPr>
      </w:pPr>
    </w:p>
    <w:p w:rsidR="00635C78" w:rsidRPr="005C7A1A" w:rsidRDefault="00635C78" w:rsidP="00540A22">
      <w:pPr>
        <w:tabs>
          <w:tab w:val="left" w:pos="1646"/>
        </w:tabs>
        <w:jc w:val="both"/>
        <w:rPr>
          <w:color w:val="000000"/>
        </w:rPr>
      </w:pPr>
      <w:r w:rsidRPr="00635C78">
        <w:rPr>
          <w:b/>
          <w:color w:val="000000"/>
          <w:u w:val="single"/>
        </w:rPr>
        <w:t>CITAT</w:t>
      </w:r>
    </w:p>
    <w:p w:rsidR="00635C78" w:rsidRPr="005C7A1A" w:rsidRDefault="00635C78" w:rsidP="00540A22">
      <w:pPr>
        <w:tabs>
          <w:tab w:val="left" w:pos="1646"/>
        </w:tabs>
        <w:jc w:val="both"/>
        <w:rPr>
          <w:color w:val="000000"/>
        </w:rPr>
      </w:pPr>
      <w:r w:rsidRPr="005C7A1A">
        <w:rPr>
          <w:color w:val="000000"/>
        </w:rPr>
        <w:t>str. 42, r. 941, 942</w:t>
      </w:r>
    </w:p>
    <w:p w:rsidR="00635C78" w:rsidRPr="005C7A1A" w:rsidRDefault="00635C78" w:rsidP="00540A22">
      <w:pPr>
        <w:tabs>
          <w:tab w:val="left" w:pos="1646"/>
        </w:tabs>
        <w:jc w:val="both"/>
      </w:pPr>
      <w:r w:rsidRPr="005C7A1A">
        <w:t xml:space="preserve">„Prema projekcijama, do 2030. </w:t>
      </w:r>
      <w:proofErr w:type="gramStart"/>
      <w:r w:rsidRPr="005C7A1A">
        <w:t>godine</w:t>
      </w:r>
      <w:proofErr w:type="gramEnd"/>
      <w:r w:rsidRPr="005C7A1A">
        <w:t xml:space="preserve"> gotovo polovica od ukupno proizvedene količine komunalnog otpada će se odvojeno sakupiti.“</w:t>
      </w:r>
    </w:p>
    <w:p w:rsidR="00635C78" w:rsidRDefault="00635C78" w:rsidP="00540A22">
      <w:pPr>
        <w:tabs>
          <w:tab w:val="left" w:pos="1646"/>
        </w:tabs>
        <w:jc w:val="both"/>
        <w:rPr>
          <w:b/>
        </w:rPr>
      </w:pPr>
    </w:p>
    <w:p w:rsidR="00635C78" w:rsidRPr="005C7A1A" w:rsidRDefault="00635C78" w:rsidP="00540A22">
      <w:pPr>
        <w:tabs>
          <w:tab w:val="left" w:pos="1646"/>
        </w:tabs>
        <w:jc w:val="both"/>
      </w:pPr>
      <w:r w:rsidRPr="00FF4E24">
        <w:rPr>
          <w:b/>
        </w:rPr>
        <w:t>KOMENTAR I PREPORUKA</w:t>
      </w:r>
    </w:p>
    <w:p w:rsidR="00635C78" w:rsidRPr="005C7A1A" w:rsidRDefault="00635C78" w:rsidP="00540A22">
      <w:pPr>
        <w:tabs>
          <w:tab w:val="left" w:pos="1646"/>
        </w:tabs>
        <w:jc w:val="both"/>
        <w:rPr>
          <w:color w:val="000000"/>
        </w:rPr>
      </w:pPr>
      <w:r w:rsidRPr="005C7A1A">
        <w:rPr>
          <w:color w:val="000000"/>
        </w:rPr>
        <w:t>Takvim projekcijama i planiranjem sustava neće se ispuniti ciljevi koj</w:t>
      </w:r>
      <w:r w:rsidR="00EC1C93">
        <w:rPr>
          <w:color w:val="000000"/>
        </w:rPr>
        <w:t>e propisuju europske directive:</w:t>
      </w:r>
      <w:r w:rsidRPr="005C7A1A">
        <w:rPr>
          <w:color w:val="000000"/>
        </w:rPr>
        <w:t xml:space="preserve"> 50% odvojenog skupljanja do </w:t>
      </w:r>
      <w:proofErr w:type="gramStart"/>
      <w:r w:rsidRPr="005C7A1A">
        <w:rPr>
          <w:color w:val="000000"/>
        </w:rPr>
        <w:t>2020.,</w:t>
      </w:r>
      <w:proofErr w:type="gramEnd"/>
      <w:r w:rsidRPr="005C7A1A">
        <w:rPr>
          <w:color w:val="000000"/>
        </w:rPr>
        <w:t xml:space="preserve"> a ne do 2030. EU je također u procesu izmjene direktiva u smjeru cilja </w:t>
      </w:r>
      <w:proofErr w:type="gramStart"/>
      <w:r w:rsidRPr="005C7A1A">
        <w:rPr>
          <w:color w:val="000000"/>
        </w:rPr>
        <w:t>od</w:t>
      </w:r>
      <w:proofErr w:type="gramEnd"/>
      <w:r w:rsidRPr="005C7A1A">
        <w:rPr>
          <w:color w:val="000000"/>
        </w:rPr>
        <w:t xml:space="preserve"> 70% do 2030.  Dakle, izdvajanje pomoću MBO tehnologije u CGO nikako neće zadovoljiti postavljene ciljeve. Nužna je izmjena sustava u smjeru unaprjeđenja sustava odvojenog skupljanja, opskrbe građana infrastrukturom </w:t>
      </w:r>
      <w:proofErr w:type="gramStart"/>
      <w:r w:rsidRPr="005C7A1A">
        <w:rPr>
          <w:color w:val="000000"/>
        </w:rPr>
        <w:t>na</w:t>
      </w:r>
      <w:proofErr w:type="gramEnd"/>
      <w:r w:rsidRPr="005C7A1A">
        <w:rPr>
          <w:color w:val="000000"/>
        </w:rPr>
        <w:t xml:space="preserve"> kućnom pragu, a ne ulaganje napora u izgradnju postrojenja za mehaničko-biološku obradu i spaljivanje RDF-a.</w:t>
      </w:r>
    </w:p>
    <w:p w:rsidR="00635C78" w:rsidRPr="005C7A1A" w:rsidRDefault="00635C78" w:rsidP="00540A22">
      <w:pPr>
        <w:tabs>
          <w:tab w:val="left" w:pos="1646"/>
        </w:tabs>
        <w:jc w:val="both"/>
        <w:rPr>
          <w:color w:val="000000"/>
        </w:rPr>
      </w:pPr>
    </w:p>
    <w:p w:rsidR="00635C78" w:rsidRPr="005C7A1A" w:rsidRDefault="00635C78" w:rsidP="00540A22">
      <w:pPr>
        <w:tabs>
          <w:tab w:val="left" w:pos="1646"/>
        </w:tabs>
        <w:jc w:val="both"/>
        <w:rPr>
          <w:color w:val="000000"/>
        </w:rPr>
      </w:pPr>
      <w:r w:rsidRPr="00635C78">
        <w:rPr>
          <w:b/>
          <w:color w:val="000000"/>
          <w:u w:val="single"/>
        </w:rPr>
        <w:t>CITAT</w:t>
      </w:r>
    </w:p>
    <w:p w:rsidR="00635C78" w:rsidRPr="005C7A1A" w:rsidRDefault="00635C78" w:rsidP="00540A22">
      <w:pPr>
        <w:tabs>
          <w:tab w:val="left" w:pos="1646"/>
        </w:tabs>
        <w:jc w:val="both"/>
        <w:rPr>
          <w:color w:val="000000"/>
        </w:rPr>
      </w:pPr>
      <w:r w:rsidRPr="005C7A1A">
        <w:rPr>
          <w:color w:val="000000"/>
        </w:rPr>
        <w:t>str. 43, r. 948, 949, 950</w:t>
      </w:r>
    </w:p>
    <w:p w:rsidR="00635C78" w:rsidRPr="005C7A1A" w:rsidRDefault="00635C78" w:rsidP="00540A22">
      <w:pPr>
        <w:tabs>
          <w:tab w:val="left" w:pos="1646"/>
        </w:tabs>
        <w:jc w:val="both"/>
      </w:pPr>
      <w:r w:rsidRPr="005C7A1A">
        <w:t xml:space="preserve">„U razmatranom razdoblju od 2015. </w:t>
      </w:r>
      <w:proofErr w:type="gramStart"/>
      <w:r w:rsidRPr="005C7A1A">
        <w:t>do</w:t>
      </w:r>
      <w:proofErr w:type="gramEnd"/>
      <w:r w:rsidRPr="005C7A1A">
        <w:t xml:space="preserve"> 2030. </w:t>
      </w:r>
      <w:proofErr w:type="gramStart"/>
      <w:r w:rsidRPr="005C7A1A">
        <w:t>godine</w:t>
      </w:r>
      <w:proofErr w:type="gramEnd"/>
      <w:r w:rsidRPr="005C7A1A">
        <w:t>, prosječno će nastajati oko 1.084.388 tona biorazgradivog komunalnog otpada. Ako se izuzmu one komponente koje će se izdvajati u gorivo iz otpada proizlazi kako bi oko 680.000 tona biorazgradivog otpada moglo gravitirati prema centrima za gospodarenje otpadom, što će opet ovisiti o tehnološkom rješenju obrade otpada.“</w:t>
      </w:r>
    </w:p>
    <w:p w:rsidR="00635C78" w:rsidRDefault="00635C78" w:rsidP="00540A22">
      <w:pPr>
        <w:tabs>
          <w:tab w:val="left" w:pos="1646"/>
        </w:tabs>
        <w:jc w:val="both"/>
        <w:rPr>
          <w:b/>
        </w:rPr>
      </w:pPr>
    </w:p>
    <w:p w:rsidR="00635C78" w:rsidRPr="005C7A1A" w:rsidRDefault="00635C78" w:rsidP="00540A22">
      <w:pPr>
        <w:tabs>
          <w:tab w:val="left" w:pos="1646"/>
        </w:tabs>
        <w:jc w:val="both"/>
      </w:pPr>
      <w:r w:rsidRPr="00FF4E24">
        <w:rPr>
          <w:b/>
        </w:rPr>
        <w:t>KOMENTAR I PREPORUKA</w:t>
      </w:r>
    </w:p>
    <w:p w:rsidR="00635C78" w:rsidRPr="005C7A1A" w:rsidRDefault="00635C78" w:rsidP="00540A22">
      <w:pPr>
        <w:tabs>
          <w:tab w:val="left" w:pos="1646"/>
        </w:tabs>
        <w:jc w:val="both"/>
        <w:rPr>
          <w:color w:val="000000"/>
        </w:rPr>
      </w:pPr>
      <w:r w:rsidRPr="005C7A1A">
        <w:rPr>
          <w:color w:val="000000"/>
        </w:rPr>
        <w:t xml:space="preserve">Proizvodnja goriva iz otpada i biorazgradivog otpada je apsolutno neprihvatljiva. Biorazgradivi otpad mora se odvojeno skupljati i potom kompostirati </w:t>
      </w:r>
      <w:proofErr w:type="gramStart"/>
      <w:r w:rsidRPr="005C7A1A">
        <w:rPr>
          <w:color w:val="000000"/>
        </w:rPr>
        <w:t>ili</w:t>
      </w:r>
      <w:proofErr w:type="gramEnd"/>
      <w:r w:rsidRPr="005C7A1A">
        <w:rPr>
          <w:color w:val="000000"/>
        </w:rPr>
        <w:t xml:space="preserve"> uključiti u proces anaerobne digestije i proizvodnje bioplina. Na to upućuje i Okvirna direktiva o otpadu koja naglašava važnost da se, u skladu </w:t>
      </w:r>
      <w:proofErr w:type="gramStart"/>
      <w:r w:rsidRPr="005C7A1A">
        <w:rPr>
          <w:color w:val="000000"/>
        </w:rPr>
        <w:t>sa</w:t>
      </w:r>
      <w:proofErr w:type="gramEnd"/>
      <w:r w:rsidRPr="005C7A1A">
        <w:rPr>
          <w:color w:val="000000"/>
        </w:rPr>
        <w:t xml:space="preserve"> hijerarhijom otpada, mora facilitirati odvojeno sakupljanje i prikladna obrada bio-otpada kako bi se mogao proizvesti okolišno prihvatljivi kompost i drugi proizvodi poput energije u anaerobnim digestorima.</w:t>
      </w:r>
    </w:p>
    <w:p w:rsidR="00635C78" w:rsidRDefault="00635C78" w:rsidP="00540A22">
      <w:pPr>
        <w:tabs>
          <w:tab w:val="left" w:pos="1646"/>
        </w:tabs>
        <w:jc w:val="both"/>
        <w:rPr>
          <w:b/>
          <w:color w:val="000000"/>
          <w:u w:val="single"/>
        </w:rPr>
      </w:pPr>
    </w:p>
    <w:p w:rsidR="00635C78" w:rsidRDefault="00635C78" w:rsidP="00540A22">
      <w:pPr>
        <w:tabs>
          <w:tab w:val="left" w:pos="1646"/>
        </w:tabs>
        <w:jc w:val="both"/>
        <w:rPr>
          <w:color w:val="000000"/>
        </w:rPr>
      </w:pPr>
      <w:r w:rsidRPr="00635C78">
        <w:rPr>
          <w:b/>
          <w:color w:val="000000"/>
          <w:u w:val="single"/>
        </w:rPr>
        <w:t>CITAT</w:t>
      </w:r>
    </w:p>
    <w:p w:rsidR="00635C78" w:rsidRPr="005C7A1A" w:rsidRDefault="00635C78" w:rsidP="00540A22">
      <w:pPr>
        <w:tabs>
          <w:tab w:val="left" w:pos="1646"/>
        </w:tabs>
        <w:jc w:val="both"/>
        <w:rPr>
          <w:color w:val="000000"/>
        </w:rPr>
      </w:pPr>
      <w:r w:rsidRPr="005C7A1A">
        <w:rPr>
          <w:color w:val="000000"/>
        </w:rPr>
        <w:t>str. 44, r. 963, 964</w:t>
      </w:r>
    </w:p>
    <w:p w:rsidR="00635C78" w:rsidRPr="005C7A1A" w:rsidRDefault="00635C78" w:rsidP="00540A22">
      <w:pPr>
        <w:tabs>
          <w:tab w:val="left" w:pos="1646"/>
        </w:tabs>
        <w:jc w:val="both"/>
      </w:pPr>
      <w:r w:rsidRPr="005C7A1A">
        <w:t xml:space="preserve">„U razdoblju od 2015. </w:t>
      </w:r>
      <w:proofErr w:type="gramStart"/>
      <w:r w:rsidRPr="005C7A1A">
        <w:t>do</w:t>
      </w:r>
      <w:proofErr w:type="gramEnd"/>
      <w:r w:rsidRPr="005C7A1A">
        <w:t xml:space="preserve"> 2030. godine predviđa se nastanak prosječno godišnje oko 530.000 tona gorivog dijela otpada što odgovara iznosu od otprilike 30% od ukupne količine otpada koja nastane, odnosno gotovo 50% otpada koja će dolaziti na centre za gospodarenje.“ </w:t>
      </w:r>
    </w:p>
    <w:p w:rsidR="00635C78" w:rsidRDefault="00635C78" w:rsidP="00540A22">
      <w:pPr>
        <w:tabs>
          <w:tab w:val="left" w:pos="1646"/>
        </w:tabs>
        <w:jc w:val="both"/>
        <w:rPr>
          <w:b/>
        </w:rPr>
      </w:pPr>
    </w:p>
    <w:p w:rsidR="00635C78" w:rsidRPr="005C7A1A" w:rsidRDefault="00635C78" w:rsidP="00540A22">
      <w:pPr>
        <w:tabs>
          <w:tab w:val="left" w:pos="1646"/>
        </w:tabs>
        <w:jc w:val="both"/>
      </w:pPr>
      <w:r w:rsidRPr="00FF4E24">
        <w:rPr>
          <w:b/>
        </w:rPr>
        <w:t>KOMENTAR I PREPORUKA</w:t>
      </w:r>
    </w:p>
    <w:p w:rsidR="00635C78" w:rsidRPr="005C7A1A" w:rsidRDefault="00635C78" w:rsidP="00540A22">
      <w:pPr>
        <w:tabs>
          <w:tab w:val="left" w:pos="1646"/>
        </w:tabs>
        <w:jc w:val="both"/>
      </w:pPr>
      <w:r w:rsidRPr="005C7A1A">
        <w:t>Navođenje</w:t>
      </w:r>
      <w:r w:rsidR="00EC1C93">
        <w:t>,</w:t>
      </w:r>
      <w:r w:rsidRPr="005C7A1A">
        <w:t xml:space="preserve"> odnosno predviđanje da </w:t>
      </w:r>
      <w:proofErr w:type="gramStart"/>
      <w:r w:rsidRPr="005C7A1A">
        <w:t>će</w:t>
      </w:r>
      <w:proofErr w:type="gramEnd"/>
      <w:r w:rsidRPr="005C7A1A">
        <w:t xml:space="preserve"> 50% otpada koji će dolaziti u CGO biti poslano na spaljivanje je apsolutno neprihvatljivo s obzirom na visoke ciljeve odvojenog skupljanja i recikliranja. Nadalje, </w:t>
      </w:r>
      <w:proofErr w:type="gramStart"/>
      <w:r w:rsidRPr="005C7A1A">
        <w:t>na</w:t>
      </w:r>
      <w:proofErr w:type="gramEnd"/>
      <w:r w:rsidRPr="005C7A1A">
        <w:t xml:space="preserve"> čemu se to predviđanje temelji, s obzirom na to da se u ranijim poglavljima spominje da tehnologija obrade nije definirana već da se tek mora definirati studijama izvodljivosti u 9 od 13 centara? Gdje se planira spaljivati GIO (osušeno smeće) iz Ličko senjske, Zadarske, Splitske, Šibenske, Dubrovačko-neretvanske županije s obzirom da je cementari Cemex </w:t>
      </w:r>
      <w:proofErr w:type="gramStart"/>
      <w:r w:rsidRPr="005C7A1A">
        <w:t>od</w:t>
      </w:r>
      <w:proofErr w:type="gramEnd"/>
      <w:r w:rsidRPr="005C7A1A">
        <w:t xml:space="preserve"> strane Upravnog suda zabranjeno spaljivanje? Da li je </w:t>
      </w:r>
      <w:r w:rsidR="00EC1C93">
        <w:t>uzet</w:t>
      </w:r>
      <w:r w:rsidRPr="005C7A1A">
        <w:t xml:space="preserve"> u obzir trošak prijevoza u sjeverne županije? Na nizu svjetskih primjera dokazano je da cementarama zbog spaljivanja GIO rastu troškovi održavanja. Jesu li razmotreni troškovi koji </w:t>
      </w:r>
      <w:proofErr w:type="gramStart"/>
      <w:r w:rsidRPr="005C7A1A">
        <w:t>će</w:t>
      </w:r>
      <w:proofErr w:type="gramEnd"/>
      <w:r w:rsidRPr="005C7A1A">
        <w:t xml:space="preserve"> nastati ako cementare iz tog razloga neće htjeti prihvaćati GIO?</w:t>
      </w:r>
      <w:r w:rsidR="00EC1C93">
        <w:t xml:space="preserve"> Sve navedene analize nedostaju da bi Plan bio potpun i jasan.</w:t>
      </w:r>
    </w:p>
    <w:p w:rsidR="00635C78" w:rsidRPr="005C7A1A" w:rsidRDefault="00635C78" w:rsidP="00540A22">
      <w:pPr>
        <w:tabs>
          <w:tab w:val="left" w:pos="1646"/>
        </w:tabs>
        <w:jc w:val="both"/>
      </w:pPr>
    </w:p>
    <w:p w:rsidR="00635C78" w:rsidRPr="005C7A1A" w:rsidRDefault="00635C78" w:rsidP="00540A22">
      <w:pPr>
        <w:tabs>
          <w:tab w:val="left" w:pos="1646"/>
        </w:tabs>
        <w:jc w:val="both"/>
      </w:pPr>
      <w:r w:rsidRPr="00635C78">
        <w:rPr>
          <w:b/>
          <w:u w:val="single"/>
        </w:rPr>
        <w:t>CITAT</w:t>
      </w:r>
    </w:p>
    <w:p w:rsidR="00635C78" w:rsidRPr="005C7A1A" w:rsidRDefault="00635C78" w:rsidP="00540A22">
      <w:pPr>
        <w:tabs>
          <w:tab w:val="left" w:pos="1646"/>
        </w:tabs>
        <w:jc w:val="both"/>
      </w:pPr>
      <w:r w:rsidRPr="005C7A1A">
        <w:t>str.44, r. 970, 971</w:t>
      </w:r>
    </w:p>
    <w:p w:rsidR="00635C78" w:rsidRPr="005C7A1A" w:rsidRDefault="00635C78" w:rsidP="00540A22">
      <w:pPr>
        <w:tabs>
          <w:tab w:val="left" w:pos="1646"/>
        </w:tabs>
        <w:jc w:val="both"/>
      </w:pPr>
      <w:r w:rsidRPr="005C7A1A">
        <w:t>„S obzirom na postojeće i planirano stanje u gospodarenju otpadom cjeloviti sustav gospodarenja otpadom nije moguće uspostaviti bez segmenta energetske oporabe otpada</w:t>
      </w:r>
      <w:proofErr w:type="gramStart"/>
      <w:r w:rsidRPr="005C7A1A">
        <w:t>.“</w:t>
      </w:r>
      <w:proofErr w:type="gramEnd"/>
    </w:p>
    <w:p w:rsidR="00635C78" w:rsidRDefault="00635C78" w:rsidP="00540A22">
      <w:pPr>
        <w:tabs>
          <w:tab w:val="left" w:pos="1646"/>
        </w:tabs>
        <w:jc w:val="both"/>
        <w:rPr>
          <w:b/>
        </w:rPr>
      </w:pPr>
    </w:p>
    <w:p w:rsidR="00635C78" w:rsidRPr="005C7A1A" w:rsidRDefault="00635C78" w:rsidP="00540A22">
      <w:pPr>
        <w:tabs>
          <w:tab w:val="left" w:pos="1646"/>
        </w:tabs>
        <w:jc w:val="both"/>
      </w:pPr>
      <w:r w:rsidRPr="00FF4E24">
        <w:rPr>
          <w:b/>
        </w:rPr>
        <w:t>KOMENTAR I PREPORUKA</w:t>
      </w:r>
    </w:p>
    <w:p w:rsidR="00635C78" w:rsidRPr="005C7A1A" w:rsidRDefault="00635C78" w:rsidP="00540A22">
      <w:pPr>
        <w:tabs>
          <w:tab w:val="left" w:pos="1646"/>
        </w:tabs>
        <w:jc w:val="both"/>
      </w:pPr>
      <w:r w:rsidRPr="005C7A1A">
        <w:t xml:space="preserve">Na temelju kojih analiza se ovo tvrdi? U prijedlogu Plana gospodarenja otpadom ne smije se paušalno odobravati određena tehnologija i tvrditi da nešto nije moguće, već je potrebno napraviti kvalitativne usporedbe između različitih sustava kako bi se dokazala opravdanost odabira određenog sustava gospodarenja otpadom. U skladu s time, potrebno je prikazati i najuspješnije sustave odvojenog prikupljanja otpada u Europi u kojima termička obrada otpada nije potrebna već se kao rješenje za ostatni otpad koriste puno naprednije moderne tehnologije, te prikazati i popis gradova u kojima se odustalo od izgradnje postrojenja za termičku obradu </w:t>
      </w:r>
      <w:r w:rsidRPr="005C7A1A">
        <w:lastRenderedPageBreak/>
        <w:t xml:space="preserve">otpada kada se analizama utvrdilo da je ekološki sustav gospodarenja otpadom baziran na prikupljanju otpada od “vrata do vrata” puno isplativiji i okolišno prihvatljiviji. </w:t>
      </w:r>
    </w:p>
    <w:p w:rsidR="00635C78" w:rsidRPr="005C7A1A" w:rsidRDefault="00635C78" w:rsidP="00540A22">
      <w:pPr>
        <w:tabs>
          <w:tab w:val="left" w:pos="1646"/>
        </w:tabs>
        <w:jc w:val="both"/>
      </w:pPr>
      <w:r w:rsidRPr="005C7A1A">
        <w:t>Potrebno je provesti analize o isplativosti svih mogućnosti primarnog odvajanja otpada kao i postrojenja za obradu ostatnog otpada, Planu priložiti spomenute analize i objasniti zašto se odabire određeni sustav za gospodarenje otpadom. Tek nakon provedenih svih analiza moguće je predlagati sustav gospodarenja otpadom, usklađen i s europskim i nacionalnim zakonodavstvom.</w:t>
      </w:r>
    </w:p>
    <w:p w:rsidR="00635C78" w:rsidRPr="005C7A1A" w:rsidRDefault="00635C78" w:rsidP="00540A22">
      <w:pPr>
        <w:tabs>
          <w:tab w:val="left" w:pos="1646"/>
        </w:tabs>
        <w:jc w:val="both"/>
      </w:pPr>
    </w:p>
    <w:p w:rsidR="00635C78" w:rsidRPr="005C7A1A" w:rsidRDefault="00635C78" w:rsidP="00540A22">
      <w:pPr>
        <w:tabs>
          <w:tab w:val="left" w:pos="1646"/>
        </w:tabs>
        <w:jc w:val="both"/>
      </w:pPr>
      <w:r w:rsidRPr="00635C78">
        <w:rPr>
          <w:b/>
          <w:u w:val="single"/>
        </w:rPr>
        <w:t>CITAT</w:t>
      </w:r>
    </w:p>
    <w:p w:rsidR="00635C78" w:rsidRPr="005C7A1A" w:rsidRDefault="00635C78" w:rsidP="00540A22">
      <w:pPr>
        <w:tabs>
          <w:tab w:val="left" w:pos="1646"/>
        </w:tabs>
        <w:jc w:val="both"/>
      </w:pPr>
      <w:r w:rsidRPr="005C7A1A">
        <w:t>str.45, r. 1000, 1001</w:t>
      </w:r>
    </w:p>
    <w:p w:rsidR="00635C78" w:rsidRPr="005C7A1A" w:rsidRDefault="00635C78" w:rsidP="00540A22">
      <w:pPr>
        <w:tabs>
          <w:tab w:val="left" w:pos="1646"/>
        </w:tabs>
        <w:jc w:val="both"/>
      </w:pPr>
      <w:r w:rsidRPr="005C7A1A">
        <w:t>„Potrebno je uspostaviti odgovarajući sustav gospodarenja otpadnim muljem koji će uključivati i 1000 energetsku oporabu otpadnog mulja</w:t>
      </w:r>
      <w:proofErr w:type="gramStart"/>
      <w:r w:rsidRPr="005C7A1A">
        <w:t>.“</w:t>
      </w:r>
      <w:proofErr w:type="gramEnd"/>
    </w:p>
    <w:p w:rsidR="00635C78" w:rsidRDefault="00635C78" w:rsidP="00540A22">
      <w:pPr>
        <w:tabs>
          <w:tab w:val="left" w:pos="1646"/>
        </w:tabs>
        <w:jc w:val="both"/>
        <w:rPr>
          <w:b/>
        </w:rPr>
      </w:pPr>
    </w:p>
    <w:p w:rsidR="00635C78" w:rsidRPr="005C7A1A" w:rsidRDefault="00635C78" w:rsidP="00540A22">
      <w:pPr>
        <w:tabs>
          <w:tab w:val="left" w:pos="1646"/>
        </w:tabs>
        <w:jc w:val="both"/>
      </w:pPr>
      <w:r w:rsidRPr="00FF4E24">
        <w:rPr>
          <w:b/>
        </w:rPr>
        <w:t>KOMENTAR I PREPORUKA</w:t>
      </w:r>
    </w:p>
    <w:p w:rsidR="00635C78" w:rsidRPr="005C7A1A" w:rsidRDefault="00635C78" w:rsidP="00540A22">
      <w:pPr>
        <w:tabs>
          <w:tab w:val="left" w:pos="1646"/>
        </w:tabs>
        <w:jc w:val="both"/>
      </w:pPr>
      <w:r w:rsidRPr="005C7A1A">
        <w:t xml:space="preserve">Na temelju kojih analiza se tvrdi da je energetska oporaba otpadnog mulja optimalno rješenje za zbrinjavanje otpadnog mulja? Potrebno je priložiti sve izračune koji trenutno nedostaju, provesti analize o mogućnostima redukcije količina proizvedenog mulja </w:t>
      </w:r>
      <w:proofErr w:type="gramStart"/>
      <w:r w:rsidRPr="005C7A1A">
        <w:t>te</w:t>
      </w:r>
      <w:proofErr w:type="gramEnd"/>
      <w:r w:rsidRPr="005C7A1A">
        <w:t xml:space="preserve"> alternativnim i isplativijim mogućnostima zbrinjavanja mulja. Tek nakon provedenih svih analiza moguće je predlagati sustav gospodarenja otpadnim muljem.</w:t>
      </w:r>
    </w:p>
    <w:p w:rsidR="00635C78" w:rsidRPr="005C7A1A" w:rsidRDefault="00635C78" w:rsidP="00540A22">
      <w:pPr>
        <w:tabs>
          <w:tab w:val="left" w:pos="1646"/>
        </w:tabs>
        <w:jc w:val="both"/>
      </w:pPr>
    </w:p>
    <w:p w:rsidR="00635C78" w:rsidRPr="005C7A1A" w:rsidRDefault="00635C78" w:rsidP="00540A22">
      <w:pPr>
        <w:tabs>
          <w:tab w:val="left" w:pos="1646"/>
        </w:tabs>
        <w:jc w:val="both"/>
      </w:pPr>
      <w:r w:rsidRPr="00635C78">
        <w:rPr>
          <w:b/>
          <w:u w:val="single"/>
        </w:rPr>
        <w:t>CITAT</w:t>
      </w:r>
    </w:p>
    <w:p w:rsidR="00635C78" w:rsidRPr="005C7A1A" w:rsidRDefault="00635C78" w:rsidP="00540A22">
      <w:pPr>
        <w:tabs>
          <w:tab w:val="left" w:pos="1646"/>
        </w:tabs>
        <w:jc w:val="both"/>
      </w:pPr>
      <w:r w:rsidRPr="005C7A1A">
        <w:t>str. 49, r. 1133-1138</w:t>
      </w:r>
    </w:p>
    <w:p w:rsidR="00635C78" w:rsidRPr="005C7A1A" w:rsidRDefault="00635C78" w:rsidP="00540A22">
      <w:pPr>
        <w:tabs>
          <w:tab w:val="left" w:pos="1646"/>
        </w:tabs>
        <w:jc w:val="both"/>
      </w:pPr>
      <w:r w:rsidRPr="005C7A1A">
        <w:rPr>
          <w:i/>
          <w:iCs/>
        </w:rPr>
        <w:t xml:space="preserve">„Skupljanje miješanog komunalnog otpada bez odvajanja korisnih vrsta otpada na mjestu nastanka </w:t>
      </w:r>
      <w:r w:rsidRPr="005C7A1A">
        <w:t>odnosno „kućnom pragu“ primjenjuje se gdje nije moguće postaviti više spremnika za otpad na „kućnom pragu“ zbog prostornih ograničenja za smještaj spremnika, transportnih ograničenja i ekonomski neisplativog transporta. Putem spremnika na „kućnom pragu</w:t>
      </w:r>
      <w:proofErr w:type="gramStart"/>
      <w:r w:rsidRPr="005C7A1A">
        <w:t>“ prikupljat</w:t>
      </w:r>
      <w:proofErr w:type="gramEnd"/>
      <w:r w:rsidRPr="005C7A1A">
        <w:t xml:space="preserve"> će se miješani komunalni otpad te poticati kompostiranje na „kućnom pragu“. Biootpad će se prikupljati u spremniku za miješani komunalni otpad te će u centar za gospodarenje otpadom dolaziti otpad s većim udjelom biorazgradive komponente</w:t>
      </w:r>
      <w:proofErr w:type="gramStart"/>
      <w:r w:rsidRPr="005C7A1A">
        <w:t>.“</w:t>
      </w:r>
      <w:proofErr w:type="gramEnd"/>
    </w:p>
    <w:p w:rsidR="00635C78" w:rsidRDefault="00635C78" w:rsidP="00540A22">
      <w:pPr>
        <w:tabs>
          <w:tab w:val="left" w:pos="1646"/>
        </w:tabs>
        <w:jc w:val="both"/>
        <w:rPr>
          <w:b/>
        </w:rPr>
      </w:pPr>
    </w:p>
    <w:p w:rsidR="00635C78" w:rsidRPr="005C7A1A" w:rsidRDefault="00635C78" w:rsidP="00540A22">
      <w:pPr>
        <w:tabs>
          <w:tab w:val="left" w:pos="1646"/>
        </w:tabs>
        <w:jc w:val="both"/>
      </w:pPr>
      <w:r w:rsidRPr="00FF4E24">
        <w:rPr>
          <w:b/>
        </w:rPr>
        <w:t>KOMENTAR I PREPORUKA</w:t>
      </w:r>
    </w:p>
    <w:p w:rsidR="00635C78" w:rsidRPr="005C7A1A" w:rsidRDefault="00635C78" w:rsidP="00540A22">
      <w:pPr>
        <w:tabs>
          <w:tab w:val="left" w:pos="1646"/>
        </w:tabs>
        <w:jc w:val="both"/>
      </w:pPr>
      <w:r w:rsidRPr="005C7A1A">
        <w:t xml:space="preserve">Korištenje argumenta nemogućnosti postavljanja većeg broja kanti kako bi se opravdalo prikupljanje miješanog komunalnog otpada u kućanstvima neprihvatljivo je s obzirom </w:t>
      </w:r>
      <w:proofErr w:type="gramStart"/>
      <w:r w:rsidRPr="005C7A1A">
        <w:t>na</w:t>
      </w:r>
      <w:proofErr w:type="gramEnd"/>
      <w:r w:rsidRPr="005C7A1A">
        <w:t xml:space="preserve"> niz mogućih boljih rješenja i organizacije sustava odvojenog skupljanja otpada. Primjerice, moguće je modificirati punktove gdje se trenutno skuplja miješani otpad </w:t>
      </w:r>
      <w:proofErr w:type="gramStart"/>
      <w:r w:rsidRPr="005C7A1A">
        <w:t>na</w:t>
      </w:r>
      <w:proofErr w:type="gramEnd"/>
      <w:r w:rsidRPr="005C7A1A">
        <w:t xml:space="preserve"> način da se umjesto više spremnika za komunalni otpad postavi po jedan za različite vrste otpada ili izgradnjom kaveza pod ključem kojima će pristup imati samo određeni građani. </w:t>
      </w:r>
    </w:p>
    <w:p w:rsidR="00635C78" w:rsidRPr="005C7A1A" w:rsidRDefault="00635C78" w:rsidP="00540A22">
      <w:pPr>
        <w:tabs>
          <w:tab w:val="left" w:pos="1646"/>
        </w:tabs>
        <w:jc w:val="both"/>
      </w:pPr>
      <w:r w:rsidRPr="005C7A1A">
        <w:t>Uključivanje stavke skupljanja miješanog otpada i njegovo planiranje neprihvatljivo je jer Zakon propisuje odvojeno prikupljanje frakcija za sve JLS što bliže kućnom pragu.</w:t>
      </w:r>
    </w:p>
    <w:p w:rsidR="00635C78" w:rsidRPr="005C7A1A" w:rsidRDefault="00635C78" w:rsidP="00540A22">
      <w:pPr>
        <w:tabs>
          <w:tab w:val="left" w:pos="1646"/>
        </w:tabs>
        <w:jc w:val="both"/>
      </w:pPr>
    </w:p>
    <w:p w:rsidR="00635C78" w:rsidRPr="005C7A1A" w:rsidRDefault="00635C78" w:rsidP="00540A22">
      <w:pPr>
        <w:tabs>
          <w:tab w:val="left" w:pos="1646"/>
        </w:tabs>
        <w:jc w:val="both"/>
      </w:pPr>
      <w:r w:rsidRPr="00635C78">
        <w:rPr>
          <w:b/>
          <w:u w:val="single"/>
        </w:rPr>
        <w:t>CITAT</w:t>
      </w:r>
    </w:p>
    <w:p w:rsidR="00635C78" w:rsidRPr="005C7A1A" w:rsidRDefault="00635C78" w:rsidP="00540A22">
      <w:pPr>
        <w:tabs>
          <w:tab w:val="left" w:pos="1646"/>
        </w:tabs>
        <w:jc w:val="both"/>
      </w:pPr>
      <w:r w:rsidRPr="005C7A1A">
        <w:t>str. 50, r. 1185, 1186, 1187</w:t>
      </w:r>
    </w:p>
    <w:p w:rsidR="00635C78" w:rsidRPr="005C7A1A" w:rsidRDefault="00635C78" w:rsidP="00540A22">
      <w:pPr>
        <w:tabs>
          <w:tab w:val="left" w:pos="1646"/>
        </w:tabs>
        <w:jc w:val="both"/>
      </w:pPr>
      <w:r w:rsidRPr="005C7A1A">
        <w:t>„Na područjima gdje neće biti uspostavljen sustav odvojenog prikupljanja biootpada, biootpad će se obrađivati na „kućnom pragu</w:t>
      </w:r>
      <w:proofErr w:type="gramStart"/>
      <w:r w:rsidRPr="005C7A1A">
        <w:t>“ ili</w:t>
      </w:r>
      <w:proofErr w:type="gramEnd"/>
      <w:r w:rsidRPr="005C7A1A">
        <w:t xml:space="preserve"> će se kao sastavni dio miješanog komunalnog otpada obrađivati u sklopu centara za gospodarenje otpadom (predobrada i mehaničko odvajanje „teške“ frakcije prije biološka i/ili termička obrada).“</w:t>
      </w:r>
    </w:p>
    <w:p w:rsidR="00635C78" w:rsidRPr="005C7A1A" w:rsidRDefault="00635C78" w:rsidP="00540A22">
      <w:pPr>
        <w:tabs>
          <w:tab w:val="left" w:pos="1646"/>
        </w:tabs>
        <w:jc w:val="both"/>
      </w:pPr>
    </w:p>
    <w:p w:rsidR="00635C78" w:rsidRPr="005C7A1A" w:rsidRDefault="00635C78" w:rsidP="00540A22">
      <w:pPr>
        <w:tabs>
          <w:tab w:val="left" w:pos="1646"/>
        </w:tabs>
        <w:jc w:val="both"/>
      </w:pPr>
      <w:r w:rsidRPr="00FF4E24">
        <w:rPr>
          <w:b/>
        </w:rPr>
        <w:t>KOMENTAR I PREPORUKA</w:t>
      </w:r>
    </w:p>
    <w:p w:rsidR="00635C78" w:rsidRPr="005C7A1A" w:rsidRDefault="00635C78" w:rsidP="00540A22">
      <w:pPr>
        <w:tabs>
          <w:tab w:val="left" w:pos="1646"/>
        </w:tabs>
        <w:jc w:val="both"/>
        <w:rPr>
          <w:color w:val="000000"/>
        </w:rPr>
      </w:pPr>
      <w:r w:rsidRPr="005C7A1A">
        <w:rPr>
          <w:color w:val="000000"/>
        </w:rPr>
        <w:t>Sustav odvojenog prikupljanja biootpada zakonski je propisan i potrebno ga je uspostaviti u svim JLS, a ne predviđati termičku obradu u CGO.</w:t>
      </w:r>
    </w:p>
    <w:p w:rsidR="00635C78" w:rsidRPr="005C7A1A" w:rsidRDefault="00635C78" w:rsidP="00540A22">
      <w:pPr>
        <w:tabs>
          <w:tab w:val="left" w:pos="1646"/>
        </w:tabs>
        <w:jc w:val="both"/>
        <w:rPr>
          <w:color w:val="000000"/>
        </w:rPr>
      </w:pPr>
    </w:p>
    <w:p w:rsidR="00635C78" w:rsidRPr="005C7A1A" w:rsidRDefault="00635C78" w:rsidP="00540A22">
      <w:pPr>
        <w:tabs>
          <w:tab w:val="left" w:pos="1646"/>
        </w:tabs>
        <w:jc w:val="both"/>
        <w:rPr>
          <w:color w:val="000000"/>
        </w:rPr>
      </w:pPr>
      <w:r w:rsidRPr="00635C78">
        <w:rPr>
          <w:b/>
          <w:color w:val="000000"/>
          <w:u w:val="single"/>
        </w:rPr>
        <w:t>CITAT</w:t>
      </w:r>
    </w:p>
    <w:p w:rsidR="00635C78" w:rsidRPr="005C7A1A" w:rsidRDefault="00635C78" w:rsidP="00540A22">
      <w:pPr>
        <w:tabs>
          <w:tab w:val="left" w:pos="1646"/>
        </w:tabs>
        <w:jc w:val="both"/>
        <w:rPr>
          <w:color w:val="000000"/>
        </w:rPr>
      </w:pPr>
      <w:r w:rsidRPr="005C7A1A">
        <w:rPr>
          <w:color w:val="000000"/>
        </w:rPr>
        <w:t>str. 52, r. 1251, 1252</w:t>
      </w:r>
    </w:p>
    <w:p w:rsidR="00635C78" w:rsidRPr="005C7A1A" w:rsidRDefault="00635C78" w:rsidP="00540A22">
      <w:pPr>
        <w:tabs>
          <w:tab w:val="left" w:pos="1646"/>
        </w:tabs>
        <w:jc w:val="both"/>
      </w:pPr>
      <w:r w:rsidRPr="005C7A1A">
        <w:t xml:space="preserve"> „…a iznimno se i odvojeno prikupljeni biorazgradivi komunalni otpad može podvrgnuti termičkoj obradi</w:t>
      </w:r>
      <w:proofErr w:type="gramStart"/>
      <w:r w:rsidRPr="005C7A1A">
        <w:t>.“</w:t>
      </w:r>
      <w:proofErr w:type="gramEnd"/>
    </w:p>
    <w:p w:rsidR="00635C78" w:rsidRDefault="00635C78" w:rsidP="00540A22">
      <w:pPr>
        <w:tabs>
          <w:tab w:val="left" w:pos="1646"/>
        </w:tabs>
        <w:jc w:val="both"/>
        <w:rPr>
          <w:b/>
        </w:rPr>
      </w:pPr>
    </w:p>
    <w:p w:rsidR="00635C78" w:rsidRPr="005C7A1A" w:rsidRDefault="00635C78" w:rsidP="00540A22">
      <w:pPr>
        <w:tabs>
          <w:tab w:val="left" w:pos="1646"/>
        </w:tabs>
        <w:jc w:val="both"/>
      </w:pPr>
      <w:r w:rsidRPr="00FF4E24">
        <w:rPr>
          <w:b/>
        </w:rPr>
        <w:t>KOMENTAR I PREPORUKA</w:t>
      </w:r>
    </w:p>
    <w:p w:rsidR="00635C78" w:rsidRPr="005C7A1A" w:rsidRDefault="00635C78" w:rsidP="00540A22">
      <w:pPr>
        <w:tabs>
          <w:tab w:val="left" w:pos="1646"/>
        </w:tabs>
        <w:jc w:val="both"/>
      </w:pPr>
      <w:r w:rsidRPr="005C7A1A">
        <w:t xml:space="preserve">Podvrgavanje odvojeno prikupljenog biorazgradivog otpada termičkoj obradi apsolutno je neprihvatljivo i potrebno je </w:t>
      </w:r>
      <w:proofErr w:type="gramStart"/>
      <w:r w:rsidRPr="005C7A1A">
        <w:t>od</w:t>
      </w:r>
      <w:proofErr w:type="gramEnd"/>
      <w:r w:rsidRPr="005C7A1A">
        <w:t xml:space="preserve"> toga odustati. Kompostiranje i anaerobna digestija prihvatljivi su oblici obrade biorazgradivog otpada.</w:t>
      </w:r>
    </w:p>
    <w:p w:rsidR="00635C78" w:rsidRPr="005C7A1A" w:rsidRDefault="00635C78" w:rsidP="00540A22">
      <w:pPr>
        <w:tabs>
          <w:tab w:val="left" w:pos="1646"/>
        </w:tabs>
        <w:jc w:val="both"/>
      </w:pPr>
    </w:p>
    <w:p w:rsidR="00635C78" w:rsidRPr="005C7A1A" w:rsidRDefault="00635C78" w:rsidP="00540A22">
      <w:pPr>
        <w:tabs>
          <w:tab w:val="left" w:pos="1646"/>
        </w:tabs>
        <w:jc w:val="both"/>
      </w:pPr>
      <w:r w:rsidRPr="00635C78">
        <w:rPr>
          <w:b/>
          <w:u w:val="single"/>
        </w:rPr>
        <w:t>CITAT</w:t>
      </w:r>
    </w:p>
    <w:p w:rsidR="00635C78" w:rsidRPr="005C7A1A" w:rsidRDefault="00635C78" w:rsidP="00540A22">
      <w:pPr>
        <w:tabs>
          <w:tab w:val="left" w:pos="1646"/>
        </w:tabs>
        <w:jc w:val="both"/>
      </w:pPr>
      <w:r w:rsidRPr="005C7A1A">
        <w:t>str. 53, Slika 23. Shema gospodarenja otpadnim muljem iz uređaja za oporabu otpadnih voda</w:t>
      </w:r>
    </w:p>
    <w:p w:rsidR="00635C78" w:rsidRDefault="00635C78" w:rsidP="00540A22">
      <w:pPr>
        <w:tabs>
          <w:tab w:val="left" w:pos="1646"/>
        </w:tabs>
        <w:jc w:val="both"/>
        <w:rPr>
          <w:b/>
        </w:rPr>
      </w:pPr>
    </w:p>
    <w:p w:rsidR="00635C78" w:rsidRPr="005C7A1A" w:rsidRDefault="00635C78" w:rsidP="00540A22">
      <w:pPr>
        <w:tabs>
          <w:tab w:val="left" w:pos="1646"/>
        </w:tabs>
        <w:jc w:val="both"/>
      </w:pPr>
      <w:r w:rsidRPr="00FF4E24">
        <w:rPr>
          <w:b/>
        </w:rPr>
        <w:t>KOMENTAR I PREPORUKA</w:t>
      </w:r>
    </w:p>
    <w:p w:rsidR="00635C78" w:rsidRPr="005C7A1A" w:rsidRDefault="00635C78" w:rsidP="00540A22">
      <w:pPr>
        <w:tabs>
          <w:tab w:val="left" w:pos="1646"/>
        </w:tabs>
        <w:jc w:val="both"/>
        <w:rPr>
          <w:color w:val="000000"/>
        </w:rPr>
      </w:pPr>
      <w:r w:rsidRPr="005C7A1A">
        <w:rPr>
          <w:color w:val="000000"/>
        </w:rPr>
        <w:t xml:space="preserve">U shemu nisu uključene mogućnosti modernizacije Pročistača otpadnih voda ugradnjom dodatnih procesnih postrojenja (primjerice sustav ATHOS – mokra oksidacija zrakom i BIOTHELYS – pojačana anaerobna digestija) kojima je moguće smanjiti nastanak otpadnog mulja za više </w:t>
      </w:r>
      <w:proofErr w:type="gramStart"/>
      <w:r w:rsidRPr="005C7A1A">
        <w:rPr>
          <w:color w:val="000000"/>
        </w:rPr>
        <w:t>od</w:t>
      </w:r>
      <w:proofErr w:type="gramEnd"/>
      <w:r w:rsidRPr="005C7A1A">
        <w:rPr>
          <w:color w:val="000000"/>
        </w:rPr>
        <w:t xml:space="preserve"> 80 %, što bi rezultiralo time da suspaljivanje nije potrebno. Osim toga, takva modernizacija povećala bi količinu proizvedenog metana (bioplina) </w:t>
      </w:r>
      <w:proofErr w:type="gramStart"/>
      <w:r w:rsidRPr="005C7A1A">
        <w:rPr>
          <w:color w:val="000000"/>
        </w:rPr>
        <w:t>na</w:t>
      </w:r>
      <w:proofErr w:type="gramEnd"/>
      <w:r w:rsidRPr="005C7A1A">
        <w:rPr>
          <w:color w:val="000000"/>
        </w:rPr>
        <w:t xml:space="preserve"> postrojenjima za pročišćavanje otpadnih voda (za više od 50%), a na kraju procesa dobio bi se kruti ostatak koji je kemijski i biološki inertan i može se odložiti na sanitarno odlagalište komunalnog otpada ili upotrijebiti u proizvodnji građevinskog materijala, npr. betonskih blokova. Takvi mehanizmi reduciranja količine mulja koriste se u više europskih gradova, primjerice u Brusselsu te u Toulouseu i Samuru u Francuskoj, i potrebno ih je uključiti u analize a ne samo paušalno tvrditi da je suspaljivanje mulja u postrojenjima za termičku obradu, termoelektranama ili cementarama prihvatljivo i dobro rješenje, pogotovo znajući da je energetska vrijednost mulja niska a spaljivanje skupo i štetno.</w:t>
      </w:r>
    </w:p>
    <w:p w:rsidR="00635C78" w:rsidRDefault="00635C78" w:rsidP="00540A22">
      <w:pPr>
        <w:tabs>
          <w:tab w:val="left" w:pos="1646"/>
        </w:tabs>
        <w:jc w:val="both"/>
        <w:rPr>
          <w:b/>
          <w:color w:val="000000"/>
          <w:u w:val="single"/>
        </w:rPr>
      </w:pPr>
    </w:p>
    <w:p w:rsidR="00635C78" w:rsidRPr="005C7A1A" w:rsidRDefault="00635C78" w:rsidP="00540A22">
      <w:pPr>
        <w:tabs>
          <w:tab w:val="left" w:pos="1646"/>
        </w:tabs>
        <w:jc w:val="both"/>
        <w:rPr>
          <w:color w:val="000000"/>
        </w:rPr>
      </w:pPr>
      <w:r w:rsidRPr="00635C78">
        <w:rPr>
          <w:b/>
          <w:color w:val="000000"/>
          <w:u w:val="single"/>
        </w:rPr>
        <w:t>CITAT</w:t>
      </w:r>
    </w:p>
    <w:p w:rsidR="00635C78" w:rsidRPr="005C7A1A" w:rsidRDefault="00635C78" w:rsidP="00540A22">
      <w:pPr>
        <w:tabs>
          <w:tab w:val="left" w:pos="1646"/>
        </w:tabs>
        <w:jc w:val="both"/>
        <w:rPr>
          <w:color w:val="000000"/>
        </w:rPr>
      </w:pPr>
      <w:r w:rsidRPr="005C7A1A">
        <w:rPr>
          <w:color w:val="000000"/>
        </w:rPr>
        <w:t>str. 62, r. 1524, 1525, 1526</w:t>
      </w:r>
    </w:p>
    <w:p w:rsidR="00635C78" w:rsidRPr="005C7A1A" w:rsidRDefault="00635C78" w:rsidP="00540A22">
      <w:pPr>
        <w:tabs>
          <w:tab w:val="left" w:pos="1646"/>
        </w:tabs>
        <w:jc w:val="both"/>
      </w:pPr>
      <w:r w:rsidRPr="005C7A1A">
        <w:t>„Lokacije centara određene su kao rezultat optimizacije prostornih i ekonomskih parametara dok tehnološki koncept (Slika 30) proizlazi iz obaveza ispunjavanja zadanih ciljeva u skladu sa najboljim raspoloživim tehnikama</w:t>
      </w:r>
      <w:proofErr w:type="gramStart"/>
      <w:r w:rsidRPr="005C7A1A">
        <w:t>.“</w:t>
      </w:r>
      <w:proofErr w:type="gramEnd"/>
    </w:p>
    <w:p w:rsidR="00635C78" w:rsidRDefault="00635C78" w:rsidP="00540A22">
      <w:pPr>
        <w:tabs>
          <w:tab w:val="left" w:pos="1646"/>
        </w:tabs>
        <w:jc w:val="both"/>
        <w:rPr>
          <w:b/>
        </w:rPr>
      </w:pPr>
    </w:p>
    <w:p w:rsidR="00635C78" w:rsidRPr="005C7A1A" w:rsidRDefault="00635C78" w:rsidP="00540A22">
      <w:pPr>
        <w:tabs>
          <w:tab w:val="left" w:pos="1646"/>
        </w:tabs>
        <w:jc w:val="both"/>
      </w:pPr>
      <w:r w:rsidRPr="00FF4E24">
        <w:rPr>
          <w:b/>
        </w:rPr>
        <w:t>KOMENTAR I PREPORUKA</w:t>
      </w:r>
    </w:p>
    <w:p w:rsidR="00635C78" w:rsidRPr="00F16D96" w:rsidRDefault="00635C78" w:rsidP="00540A22">
      <w:pPr>
        <w:pStyle w:val="CommentText"/>
        <w:jc w:val="both"/>
        <w:rPr>
          <w:rFonts w:ascii="Times New Roman" w:hAnsi="Times New Roman"/>
          <w:sz w:val="24"/>
          <w:szCs w:val="24"/>
        </w:rPr>
      </w:pPr>
      <w:r w:rsidRPr="005C7A1A">
        <w:rPr>
          <w:rFonts w:ascii="Times New Roman" w:hAnsi="Times New Roman"/>
          <w:sz w:val="24"/>
          <w:szCs w:val="24"/>
        </w:rPr>
        <w:t xml:space="preserve">Nedopustivo je tvrditi da su predviđene lokacije optimalne, pogotovo s obzirom </w:t>
      </w:r>
      <w:proofErr w:type="gramStart"/>
      <w:r w:rsidRPr="005C7A1A">
        <w:rPr>
          <w:rFonts w:ascii="Times New Roman" w:hAnsi="Times New Roman"/>
          <w:sz w:val="24"/>
          <w:szCs w:val="24"/>
        </w:rPr>
        <w:t>na</w:t>
      </w:r>
      <w:proofErr w:type="gramEnd"/>
      <w:r w:rsidRPr="005C7A1A">
        <w:rPr>
          <w:rFonts w:ascii="Times New Roman" w:hAnsi="Times New Roman"/>
          <w:sz w:val="24"/>
          <w:szCs w:val="24"/>
        </w:rPr>
        <w:t xml:space="preserve"> činjenicu da se niz lokacija nalazi na područjima koja su po svojim geografskim obilježjima neprihvatljiva za planiranu obradu otpada. To se odnosi prvenstveno na krške terene s visokom propusnošću terena, što ugrožava podzemne vode, nadalje na terene u blizini izvora pitke vode, blizini naseljenih </w:t>
      </w:r>
      <w:proofErr w:type="gramStart"/>
      <w:r w:rsidRPr="005C7A1A">
        <w:rPr>
          <w:rFonts w:ascii="Times New Roman" w:hAnsi="Times New Roman"/>
          <w:sz w:val="24"/>
          <w:szCs w:val="24"/>
        </w:rPr>
        <w:t>mjesta  itd</w:t>
      </w:r>
      <w:proofErr w:type="gramEnd"/>
      <w:r w:rsidRPr="005C7A1A">
        <w:rPr>
          <w:rFonts w:ascii="Times New Roman" w:hAnsi="Times New Roman"/>
          <w:sz w:val="24"/>
          <w:szCs w:val="24"/>
        </w:rPr>
        <w:t xml:space="preserve">. Zbog izgradnje CGO nastoje se promijeniti i statusi vodozaštitinih područja, kao što je to trenutno slučaj u Zagrebu, što je apsolutno neprihvatljivo. Izgradnja takvih megalomanskih centara uvelike utječe i </w:t>
      </w:r>
      <w:proofErr w:type="gramStart"/>
      <w:r w:rsidRPr="005C7A1A">
        <w:rPr>
          <w:rFonts w:ascii="Times New Roman" w:hAnsi="Times New Roman"/>
          <w:sz w:val="24"/>
          <w:szCs w:val="24"/>
        </w:rPr>
        <w:t>na</w:t>
      </w:r>
      <w:proofErr w:type="gramEnd"/>
      <w:r w:rsidRPr="005C7A1A">
        <w:rPr>
          <w:rFonts w:ascii="Times New Roman" w:hAnsi="Times New Roman"/>
          <w:sz w:val="24"/>
          <w:szCs w:val="24"/>
        </w:rPr>
        <w:t xml:space="preserve"> životnu sredinu u kojoj se nalaze pa je potrebno pažljivo planirati procese, što je ovdje izostalo. Proaktivan pristup izgradnji CGO je također izostao, a građani nisu kvalitetno upoznati s planiranom tehnologijom obrade otpada i mjerama zaštite, formiranjem njihove komunalne naknade prema financijama potrebnim za gradnju tih centara</w:t>
      </w:r>
      <w:proofErr w:type="gramStart"/>
      <w:r w:rsidRPr="005C7A1A">
        <w:rPr>
          <w:rFonts w:ascii="Times New Roman" w:hAnsi="Times New Roman"/>
          <w:sz w:val="24"/>
          <w:szCs w:val="24"/>
        </w:rPr>
        <w:t>,  sredstvima</w:t>
      </w:r>
      <w:proofErr w:type="gramEnd"/>
      <w:r w:rsidRPr="005C7A1A">
        <w:rPr>
          <w:rFonts w:ascii="Times New Roman" w:hAnsi="Times New Roman"/>
          <w:sz w:val="24"/>
          <w:szCs w:val="24"/>
        </w:rPr>
        <w:t xml:space="preserve"> koja će se uložiti u odvojeno prikupljanje otpada i mogućnostima samostalnog formiranja vlastitih računa, na što imaju zakonsko pravo. </w:t>
      </w:r>
      <w:r w:rsidRPr="00F16D96">
        <w:rPr>
          <w:rFonts w:ascii="Times New Roman" w:hAnsi="Times New Roman"/>
          <w:sz w:val="24"/>
          <w:szCs w:val="24"/>
        </w:rPr>
        <w:t xml:space="preserve">Dakle, nadležna tijela nisu građanima dala sve potrebne informacije kako bi im se omogućilo </w:t>
      </w:r>
      <w:r w:rsidRPr="00F16D96">
        <w:rPr>
          <w:rFonts w:ascii="Times New Roman" w:hAnsi="Times New Roman"/>
          <w:sz w:val="24"/>
          <w:szCs w:val="24"/>
        </w:rPr>
        <w:lastRenderedPageBreak/>
        <w:t>kvalitetno i smisleno sudjelovanje u odlučivanju, a takav pristup koji ne uključuje sve zainteresirane strane u proces palniranja izravna je povreda Aarhuške konvencije.</w:t>
      </w:r>
    </w:p>
    <w:p w:rsidR="00635C78" w:rsidRPr="005C7A1A" w:rsidRDefault="00635C78" w:rsidP="00540A22">
      <w:pPr>
        <w:tabs>
          <w:tab w:val="left" w:pos="1646"/>
        </w:tabs>
        <w:jc w:val="both"/>
      </w:pPr>
      <w:r w:rsidRPr="005C7A1A">
        <w:t>Potrebno je provesti detaljne analize svih mogućnosti zbrinjavanja otpada, transparentno izložiti spomenute analize i objasniti zašto se odabire određeni sustav za gospodarenje otpadom</w:t>
      </w:r>
    </w:p>
    <w:p w:rsidR="00635C78" w:rsidRPr="005C7A1A" w:rsidRDefault="00635C78" w:rsidP="00540A22">
      <w:pPr>
        <w:tabs>
          <w:tab w:val="left" w:pos="1646"/>
        </w:tabs>
        <w:jc w:val="both"/>
      </w:pPr>
    </w:p>
    <w:p w:rsidR="00635C78" w:rsidRPr="005C7A1A" w:rsidRDefault="00635C78" w:rsidP="00540A22">
      <w:pPr>
        <w:tabs>
          <w:tab w:val="left" w:pos="1646"/>
        </w:tabs>
        <w:jc w:val="both"/>
      </w:pPr>
      <w:r w:rsidRPr="00635C78">
        <w:rPr>
          <w:b/>
          <w:u w:val="single"/>
        </w:rPr>
        <w:t>CITAT</w:t>
      </w:r>
    </w:p>
    <w:p w:rsidR="00635C78" w:rsidRPr="005C7A1A" w:rsidRDefault="00635C78" w:rsidP="00540A22">
      <w:pPr>
        <w:tabs>
          <w:tab w:val="left" w:pos="1646"/>
        </w:tabs>
        <w:jc w:val="both"/>
      </w:pPr>
      <w:r w:rsidRPr="005C7A1A">
        <w:t>str. 62, r. 1528, 1529</w:t>
      </w:r>
    </w:p>
    <w:p w:rsidR="00635C78" w:rsidRPr="005C7A1A" w:rsidRDefault="00635C78" w:rsidP="00540A22">
      <w:pPr>
        <w:tabs>
          <w:tab w:val="left" w:pos="1646"/>
        </w:tabs>
        <w:jc w:val="both"/>
      </w:pPr>
      <w:r w:rsidRPr="005C7A1A">
        <w:t>„…upravo sa ciljem su racionalnog korištenja prostora kao ograničenog resursa i smanjivanja troškova zbrinjavanja otpada</w:t>
      </w:r>
      <w:proofErr w:type="gramStart"/>
      <w:r w:rsidRPr="005C7A1A">
        <w:t>.“</w:t>
      </w:r>
      <w:proofErr w:type="gramEnd"/>
    </w:p>
    <w:p w:rsidR="00635C78" w:rsidRDefault="00635C78" w:rsidP="00540A22">
      <w:pPr>
        <w:tabs>
          <w:tab w:val="left" w:pos="1646"/>
        </w:tabs>
        <w:jc w:val="both"/>
        <w:rPr>
          <w:b/>
        </w:rPr>
      </w:pPr>
    </w:p>
    <w:p w:rsidR="00635C78" w:rsidRPr="005C7A1A" w:rsidRDefault="00635C78" w:rsidP="00540A22">
      <w:pPr>
        <w:tabs>
          <w:tab w:val="left" w:pos="1646"/>
        </w:tabs>
        <w:jc w:val="both"/>
      </w:pPr>
      <w:r w:rsidRPr="00FF4E24">
        <w:rPr>
          <w:b/>
        </w:rPr>
        <w:t>KOMENTAR I PREPORUKA</w:t>
      </w:r>
    </w:p>
    <w:p w:rsidR="00635C78" w:rsidRDefault="00635C78" w:rsidP="00540A22">
      <w:pPr>
        <w:tabs>
          <w:tab w:val="left" w:pos="1646"/>
        </w:tabs>
        <w:jc w:val="both"/>
        <w:rPr>
          <w:color w:val="000000"/>
        </w:rPr>
      </w:pPr>
      <w:r w:rsidRPr="005C7A1A">
        <w:rPr>
          <w:color w:val="000000"/>
        </w:rPr>
        <w:t>Netočno je da se regionalnim konceptom CGO smanjuju troškovi zbrinjavanja otpada. Takvim konceptom propisuje se da se</w:t>
      </w:r>
      <w:r>
        <w:rPr>
          <w:color w:val="000000"/>
        </w:rPr>
        <w:t xml:space="preserve"> </w:t>
      </w:r>
      <w:r w:rsidRPr="005C7A1A">
        <w:rPr>
          <w:color w:val="000000"/>
        </w:rPr>
        <w:t>v</w:t>
      </w:r>
      <w:r>
        <w:rPr>
          <w:color w:val="000000"/>
        </w:rPr>
        <w:t>e</w:t>
      </w:r>
      <w:r w:rsidRPr="005C7A1A">
        <w:rPr>
          <w:color w:val="000000"/>
        </w:rPr>
        <w:t xml:space="preserve">like količine RDF-a tj. </w:t>
      </w:r>
      <w:proofErr w:type="gramStart"/>
      <w:r w:rsidRPr="005C7A1A">
        <w:rPr>
          <w:color w:val="000000"/>
        </w:rPr>
        <w:t>usitnjenog</w:t>
      </w:r>
      <w:proofErr w:type="gramEnd"/>
      <w:r w:rsidRPr="005C7A1A">
        <w:rPr>
          <w:color w:val="000000"/>
        </w:rPr>
        <w:t xml:space="preserve"> otpada prevoze diljem RH kako bi se spaljivale u cementarama u Istri i Slavoniji te u zagrebačkoj spalionici otpada</w:t>
      </w:r>
      <w:r>
        <w:rPr>
          <w:color w:val="000000"/>
        </w:rPr>
        <w:t>,</w:t>
      </w:r>
      <w:r w:rsidRPr="005C7A1A">
        <w:rPr>
          <w:color w:val="000000"/>
        </w:rPr>
        <w:t xml:space="preserve"> pri čemu</w:t>
      </w:r>
      <w:r>
        <w:rPr>
          <w:color w:val="000000"/>
        </w:rPr>
        <w:t xml:space="preserve"> </w:t>
      </w:r>
      <w:r w:rsidRPr="005C7A1A">
        <w:rPr>
          <w:color w:val="000000"/>
        </w:rPr>
        <w:t xml:space="preserve">će troškovi transporta drastično narasti, a tome trošku treba dodati </w:t>
      </w:r>
      <w:r>
        <w:rPr>
          <w:color w:val="000000"/>
        </w:rPr>
        <w:t xml:space="preserve">i </w:t>
      </w:r>
      <w:r w:rsidRPr="005C7A1A">
        <w:rPr>
          <w:color w:val="000000"/>
        </w:rPr>
        <w:t>troškov</w:t>
      </w:r>
      <w:r>
        <w:rPr>
          <w:color w:val="000000"/>
        </w:rPr>
        <w:t>e</w:t>
      </w:r>
      <w:r w:rsidRPr="005C7A1A">
        <w:rPr>
          <w:color w:val="000000"/>
        </w:rPr>
        <w:t xml:space="preserve"> izgradnje i održavanja sustava spaljivanja, kao i izvoza opasne šljake, plaćanja pe</w:t>
      </w:r>
      <w:r>
        <w:rPr>
          <w:color w:val="000000"/>
        </w:rPr>
        <w:t>nala EU zbog neispunjenja ciljev</w:t>
      </w:r>
      <w:r w:rsidRPr="005C7A1A">
        <w:rPr>
          <w:color w:val="000000"/>
        </w:rPr>
        <w:t xml:space="preserve">a itd. </w:t>
      </w:r>
    </w:p>
    <w:p w:rsidR="00635C78" w:rsidRPr="005C7A1A" w:rsidRDefault="00635C78" w:rsidP="00540A22">
      <w:pPr>
        <w:tabs>
          <w:tab w:val="left" w:pos="1646"/>
        </w:tabs>
        <w:jc w:val="both"/>
        <w:rPr>
          <w:color w:val="000000"/>
        </w:rPr>
      </w:pPr>
    </w:p>
    <w:p w:rsidR="00635C78" w:rsidRPr="005C7A1A" w:rsidRDefault="00635C78" w:rsidP="00540A22">
      <w:pPr>
        <w:tabs>
          <w:tab w:val="left" w:pos="1646"/>
        </w:tabs>
        <w:jc w:val="both"/>
        <w:rPr>
          <w:color w:val="000000"/>
        </w:rPr>
      </w:pPr>
      <w:r w:rsidRPr="00635C78">
        <w:rPr>
          <w:b/>
          <w:color w:val="000000"/>
          <w:u w:val="single"/>
        </w:rPr>
        <w:t>CITAT</w:t>
      </w:r>
    </w:p>
    <w:p w:rsidR="00635C78" w:rsidRPr="005C7A1A" w:rsidRDefault="00635C78" w:rsidP="00540A22">
      <w:pPr>
        <w:tabs>
          <w:tab w:val="left" w:pos="1646"/>
        </w:tabs>
        <w:jc w:val="both"/>
        <w:rPr>
          <w:color w:val="000000"/>
        </w:rPr>
      </w:pPr>
      <w:r w:rsidRPr="005C7A1A">
        <w:rPr>
          <w:color w:val="000000"/>
        </w:rPr>
        <w:t>str.63, r. 1532, 1533, 1534</w:t>
      </w:r>
    </w:p>
    <w:p w:rsidR="00635C78" w:rsidRPr="005C7A1A" w:rsidRDefault="00635C78" w:rsidP="00540A22">
      <w:pPr>
        <w:tabs>
          <w:tab w:val="left" w:pos="1646"/>
        </w:tabs>
        <w:jc w:val="both"/>
      </w:pPr>
      <w:r>
        <w:t>„</w:t>
      </w:r>
      <w:r w:rsidRPr="005C7A1A">
        <w:t>Centar za gospodarenje otpadom je sklop više međusobno funkcionalno i/ili tehnološki povezanih građevina i uređaja za obradu i ostatno odlaganje obrađenog miješanog komunalnog i određenih kategorija proizvodnog otpada</w:t>
      </w:r>
      <w:proofErr w:type="gramStart"/>
      <w:r w:rsidRPr="005C7A1A">
        <w:t>.</w:t>
      </w:r>
      <w:r>
        <w:t>“</w:t>
      </w:r>
      <w:proofErr w:type="gramEnd"/>
      <w:r w:rsidRPr="005C7A1A">
        <w:t xml:space="preserve"> </w:t>
      </w:r>
    </w:p>
    <w:p w:rsidR="00635C78" w:rsidRDefault="00635C78" w:rsidP="00540A22">
      <w:pPr>
        <w:tabs>
          <w:tab w:val="left" w:pos="1646"/>
        </w:tabs>
        <w:jc w:val="both"/>
      </w:pPr>
    </w:p>
    <w:p w:rsidR="00635C78" w:rsidRPr="005C7A1A" w:rsidRDefault="00635C78" w:rsidP="00540A22">
      <w:pPr>
        <w:tabs>
          <w:tab w:val="left" w:pos="1646"/>
        </w:tabs>
        <w:jc w:val="both"/>
      </w:pPr>
      <w:r w:rsidRPr="00FF4E24">
        <w:rPr>
          <w:b/>
        </w:rPr>
        <w:t>KOMENTAR I PREPORUKA</w:t>
      </w:r>
    </w:p>
    <w:p w:rsidR="00635C78" w:rsidRPr="005C7A1A" w:rsidRDefault="00635C78" w:rsidP="00540A22">
      <w:pPr>
        <w:tabs>
          <w:tab w:val="left" w:pos="1646"/>
        </w:tabs>
        <w:jc w:val="both"/>
      </w:pPr>
      <w:r w:rsidRPr="005C7A1A">
        <w:t>S obzirom da nas ciljevi obvez</w:t>
      </w:r>
      <w:r>
        <w:t>u</w:t>
      </w:r>
      <w:r w:rsidRPr="005C7A1A">
        <w:t xml:space="preserve">ju </w:t>
      </w:r>
      <w:proofErr w:type="gramStart"/>
      <w:r w:rsidRPr="005C7A1A">
        <w:t>na</w:t>
      </w:r>
      <w:proofErr w:type="gramEnd"/>
      <w:r w:rsidRPr="005C7A1A">
        <w:t xml:space="preserve"> povećanje odvojenog skupljanja otpada</w:t>
      </w:r>
      <w:r>
        <w:t>,</w:t>
      </w:r>
      <w:r w:rsidRPr="005C7A1A">
        <w:t xml:space="preserve"> sustav treba organizirati na lokalnom nivou koji je najjeftiniji i pokazuje najbolje </w:t>
      </w:r>
      <w:r>
        <w:t>rezultate u najkraćem roku. P</w:t>
      </w:r>
      <w:r w:rsidRPr="005C7A1A">
        <w:t>lanira</w:t>
      </w:r>
      <w:r>
        <w:t>ni sustav</w:t>
      </w:r>
      <w:r w:rsidRPr="005C7A1A">
        <w:t xml:space="preserve"> izgrad</w:t>
      </w:r>
      <w:r>
        <w:t xml:space="preserve">nje megalomanskih centara koji </w:t>
      </w:r>
      <w:proofErr w:type="gramStart"/>
      <w:r>
        <w:t>ć</w:t>
      </w:r>
      <w:r w:rsidRPr="005C7A1A">
        <w:t>e</w:t>
      </w:r>
      <w:proofErr w:type="gramEnd"/>
      <w:r w:rsidRPr="005C7A1A">
        <w:t xml:space="preserve"> služiti kao mjesta gdje će se voziti velike količine miješanog otpada i prerađivati u gorivo za spaljiva</w:t>
      </w:r>
      <w:r>
        <w:t>nje u cementarama i spalionici</w:t>
      </w:r>
      <w:r w:rsidRPr="005C7A1A">
        <w:t xml:space="preserve"> već godinama koči razvoj recikliranja</w:t>
      </w:r>
      <w:r>
        <w:t>,</w:t>
      </w:r>
      <w:r w:rsidRPr="005C7A1A">
        <w:t xml:space="preserve"> budući da predviđeni centri trebaju velike količine miješanog otp</w:t>
      </w:r>
      <w:r>
        <w:t>a</w:t>
      </w:r>
      <w:r w:rsidRPr="005C7A1A">
        <w:t xml:space="preserve">da da </w:t>
      </w:r>
      <w:r>
        <w:t>bi bili</w:t>
      </w:r>
      <w:r w:rsidRPr="005C7A1A">
        <w:t xml:space="preserve"> rentabilni. Potrebno je provesti detaljne analize svih mogućnosti zbrinjavanja otpada, transparentno izložiti spomenute analize i objasniti zašto se odabire određeni sustav za gospodarenje otpadom</w:t>
      </w:r>
    </w:p>
    <w:p w:rsidR="00635C78" w:rsidRDefault="00635C78" w:rsidP="00540A22">
      <w:pPr>
        <w:tabs>
          <w:tab w:val="left" w:pos="1646"/>
        </w:tabs>
        <w:jc w:val="both"/>
        <w:rPr>
          <w:b/>
          <w:u w:val="single"/>
        </w:rPr>
      </w:pPr>
    </w:p>
    <w:p w:rsidR="00635C78" w:rsidRPr="005C7A1A" w:rsidRDefault="00635C78" w:rsidP="00540A22">
      <w:pPr>
        <w:tabs>
          <w:tab w:val="left" w:pos="1646"/>
        </w:tabs>
        <w:jc w:val="both"/>
      </w:pPr>
      <w:r w:rsidRPr="00635C78">
        <w:rPr>
          <w:b/>
          <w:u w:val="single"/>
        </w:rPr>
        <w:t>CITAT</w:t>
      </w:r>
    </w:p>
    <w:p w:rsidR="00635C78" w:rsidRPr="005C7A1A" w:rsidRDefault="00635C78" w:rsidP="00540A22">
      <w:pPr>
        <w:tabs>
          <w:tab w:val="left" w:pos="1646"/>
        </w:tabs>
        <w:jc w:val="both"/>
      </w:pPr>
      <w:r w:rsidRPr="005C7A1A">
        <w:t>str. 63, r. 1558-1563</w:t>
      </w:r>
    </w:p>
    <w:p w:rsidR="00635C78" w:rsidRPr="005C7A1A" w:rsidRDefault="00635C78" w:rsidP="00540A22">
      <w:pPr>
        <w:pStyle w:val="Default"/>
        <w:jc w:val="both"/>
      </w:pPr>
      <w:r>
        <w:t>„</w:t>
      </w:r>
      <w:r w:rsidRPr="005C7A1A">
        <w:t>U centrima za gospodarenje otpadom predviđena je mehaničko-biološka</w:t>
      </w:r>
      <w:r>
        <w:t xml:space="preserve"> i/ili termička oporaba otpada.</w:t>
      </w:r>
    </w:p>
    <w:p w:rsidR="00635C78" w:rsidRPr="005C7A1A" w:rsidRDefault="00635C78" w:rsidP="00540A22">
      <w:pPr>
        <w:tabs>
          <w:tab w:val="left" w:pos="1646"/>
        </w:tabs>
        <w:jc w:val="both"/>
      </w:pPr>
      <w:r w:rsidRPr="005C7A1A">
        <w:t xml:space="preserve">U postrojenju za mehaničko-biološku obradu otpada odvijaju se postupci mehaničke i biološke obrade otpada. Mehaničkom obradom razdvajaju se vrijedne komponente miješanog komunalnog otpada, pogodne za daljnju upotrebu odnosno materijalnu i energetsku oporabu, </w:t>
      </w:r>
      <w:proofErr w:type="gramStart"/>
      <w:r w:rsidRPr="005C7A1A">
        <w:t>od</w:t>
      </w:r>
      <w:proofErr w:type="gramEnd"/>
      <w:r w:rsidRPr="005C7A1A">
        <w:t xml:space="preserve"> biorazgradivog otpada iz kojeg se biološkom obradom dobiva se stabilizirani ostatak za daljnju obradu (odlaganje). Mogući koncepti energetske oporabe komunalnog i drugih vrsta otpada detaljnije su razrađeni u poglavlju 1563 5.3.4. Energetska oporaba otpada</w:t>
      </w:r>
      <w:proofErr w:type="gramStart"/>
      <w:r w:rsidRPr="005C7A1A">
        <w:t>.</w:t>
      </w:r>
      <w:r>
        <w:t>“</w:t>
      </w:r>
      <w:proofErr w:type="gramEnd"/>
    </w:p>
    <w:p w:rsidR="00635C78" w:rsidRDefault="00635C78" w:rsidP="00540A22">
      <w:pPr>
        <w:tabs>
          <w:tab w:val="left" w:pos="1646"/>
        </w:tabs>
        <w:jc w:val="both"/>
        <w:rPr>
          <w:b/>
        </w:rPr>
      </w:pPr>
    </w:p>
    <w:p w:rsidR="00635C78" w:rsidRPr="005C7A1A" w:rsidRDefault="00635C78" w:rsidP="00540A22">
      <w:pPr>
        <w:tabs>
          <w:tab w:val="left" w:pos="1646"/>
        </w:tabs>
        <w:jc w:val="both"/>
      </w:pPr>
      <w:r w:rsidRPr="00FF4E24">
        <w:rPr>
          <w:b/>
        </w:rPr>
        <w:t>KOMENTAR I PREPORUKA</w:t>
      </w:r>
    </w:p>
    <w:p w:rsidR="00635C78" w:rsidRDefault="00635C78" w:rsidP="00540A22">
      <w:pPr>
        <w:autoSpaceDE w:val="0"/>
        <w:autoSpaceDN w:val="0"/>
        <w:adjustRightInd w:val="0"/>
        <w:jc w:val="both"/>
        <w:rPr>
          <w:color w:val="000000"/>
        </w:rPr>
      </w:pPr>
      <w:r w:rsidRPr="005C7A1A">
        <w:rPr>
          <w:color w:val="000000"/>
        </w:rPr>
        <w:t>N</w:t>
      </w:r>
      <w:r>
        <w:rPr>
          <w:color w:val="000000"/>
        </w:rPr>
        <w:t>e</w:t>
      </w:r>
      <w:r w:rsidRPr="005C7A1A">
        <w:rPr>
          <w:color w:val="000000"/>
        </w:rPr>
        <w:t xml:space="preserve">prihvatljivo je čitav sustav gospodarenja otpadom u RH temeljiti </w:t>
      </w:r>
      <w:proofErr w:type="gramStart"/>
      <w:r w:rsidRPr="005C7A1A">
        <w:rPr>
          <w:color w:val="000000"/>
        </w:rPr>
        <w:t>na</w:t>
      </w:r>
      <w:proofErr w:type="gramEnd"/>
      <w:r w:rsidRPr="005C7A1A">
        <w:rPr>
          <w:color w:val="000000"/>
        </w:rPr>
        <w:t xml:space="preserve"> centrima koji će obrađivati miješani otpad</w:t>
      </w:r>
      <w:r>
        <w:rPr>
          <w:color w:val="000000"/>
        </w:rPr>
        <w:t>, bilo to mehaničko-</w:t>
      </w:r>
      <w:r w:rsidRPr="005C7A1A">
        <w:rPr>
          <w:color w:val="000000"/>
        </w:rPr>
        <w:t>biološkom obradom kojom se proizvodi g</w:t>
      </w:r>
      <w:r>
        <w:rPr>
          <w:color w:val="000000"/>
        </w:rPr>
        <w:t>o</w:t>
      </w:r>
      <w:r w:rsidRPr="005C7A1A">
        <w:rPr>
          <w:color w:val="000000"/>
        </w:rPr>
        <w:t>ri</w:t>
      </w:r>
      <w:r>
        <w:rPr>
          <w:color w:val="000000"/>
        </w:rPr>
        <w:t>vo za spaljivanje u cementarama</w:t>
      </w:r>
      <w:r w:rsidRPr="005C7A1A">
        <w:rPr>
          <w:color w:val="000000"/>
        </w:rPr>
        <w:t xml:space="preserve"> ili spaljivanjem otpada u spalionici u sklopu centra. U mjestima diljem svijet</w:t>
      </w:r>
      <w:r>
        <w:rPr>
          <w:color w:val="000000"/>
        </w:rPr>
        <w:t>a koja postižu najbolje rezulta</w:t>
      </w:r>
      <w:r w:rsidRPr="005C7A1A">
        <w:rPr>
          <w:color w:val="000000"/>
        </w:rPr>
        <w:t>te u gospodar</w:t>
      </w:r>
      <w:r>
        <w:rPr>
          <w:color w:val="000000"/>
        </w:rPr>
        <w:t>e</w:t>
      </w:r>
      <w:r w:rsidRPr="005C7A1A">
        <w:rPr>
          <w:color w:val="000000"/>
        </w:rPr>
        <w:t>n</w:t>
      </w:r>
      <w:r>
        <w:rPr>
          <w:color w:val="000000"/>
        </w:rPr>
        <w:t>j</w:t>
      </w:r>
      <w:r w:rsidRPr="005C7A1A">
        <w:rPr>
          <w:color w:val="000000"/>
        </w:rPr>
        <w:t>u otpadom (sukladno hijerarhiji</w:t>
      </w:r>
      <w:r>
        <w:rPr>
          <w:color w:val="000000"/>
        </w:rPr>
        <w:t xml:space="preserve"> </w:t>
      </w:r>
      <w:r w:rsidRPr="005C7A1A">
        <w:rPr>
          <w:color w:val="000000"/>
        </w:rPr>
        <w:lastRenderedPageBreak/>
        <w:t xml:space="preserve">gospodarenja otpadom koja je uspostavljena s obzirom na ukupnu ocjenu održivosti, ekološke prihvatljivosti, želju stvaranja društva koje reciklira i potrebu korištenja otpada kao resursa) sustavi se temelje na planovima koji </w:t>
      </w:r>
      <w:r>
        <w:rPr>
          <w:color w:val="000000"/>
        </w:rPr>
        <w:t>detaljno</w:t>
      </w:r>
      <w:r w:rsidRPr="005C7A1A">
        <w:rPr>
          <w:color w:val="000000"/>
        </w:rPr>
        <w:t xml:space="preserve"> razrađuju više stupnjeve hijerarhije </w:t>
      </w:r>
      <w:r>
        <w:rPr>
          <w:color w:val="000000"/>
        </w:rPr>
        <w:t xml:space="preserve">- </w:t>
      </w:r>
      <w:r w:rsidRPr="005C7A1A">
        <w:rPr>
          <w:color w:val="000000"/>
        </w:rPr>
        <w:t>prevenciju,</w:t>
      </w:r>
      <w:r>
        <w:rPr>
          <w:color w:val="000000"/>
        </w:rPr>
        <w:t xml:space="preserve"> ponovnu uporabu i recikliranje - a mehaničko-</w:t>
      </w:r>
      <w:r w:rsidRPr="005C7A1A">
        <w:rPr>
          <w:color w:val="000000"/>
        </w:rPr>
        <w:t xml:space="preserve">biološka obrada  koja isključuje proizvodnju goriva za spaljivanje služi samo kao dio lanca gospodarenja otpadom i obrađuje samo manje količine ostatnog otpada koje nastaju u kućanstvima. </w:t>
      </w:r>
    </w:p>
    <w:p w:rsidR="00635C78" w:rsidRPr="005C7A1A" w:rsidRDefault="00635C78" w:rsidP="00540A22">
      <w:pPr>
        <w:autoSpaceDE w:val="0"/>
        <w:autoSpaceDN w:val="0"/>
        <w:adjustRightInd w:val="0"/>
        <w:jc w:val="both"/>
        <w:rPr>
          <w:color w:val="000000"/>
        </w:rPr>
      </w:pPr>
      <w:r w:rsidRPr="005C7A1A">
        <w:rPr>
          <w:color w:val="000000"/>
        </w:rPr>
        <w:t>Najbolje rješenja za ostatni otpad jesu postrojenja koja ostatni otpad prerađuju u sintetički pijesak koji je sirovina za daljnju industrijsku</w:t>
      </w:r>
      <w:r>
        <w:rPr>
          <w:color w:val="000000"/>
        </w:rPr>
        <w:t xml:space="preserve"> </w:t>
      </w:r>
      <w:r w:rsidRPr="005C7A1A">
        <w:rPr>
          <w:color w:val="000000"/>
        </w:rPr>
        <w:t xml:space="preserve">proizvodnju. Time se izbjegava spaljivanje i uništavanje resursa, a sustav je </w:t>
      </w:r>
      <w:r>
        <w:rPr>
          <w:color w:val="000000"/>
        </w:rPr>
        <w:t xml:space="preserve">ekonomski </w:t>
      </w:r>
      <w:r w:rsidRPr="005C7A1A">
        <w:rPr>
          <w:color w:val="000000"/>
        </w:rPr>
        <w:t xml:space="preserve">puno isplativiji </w:t>
      </w:r>
      <w:proofErr w:type="gramStart"/>
      <w:r w:rsidRPr="005C7A1A">
        <w:rPr>
          <w:color w:val="000000"/>
        </w:rPr>
        <w:t>te</w:t>
      </w:r>
      <w:proofErr w:type="gramEnd"/>
      <w:r w:rsidRPr="005C7A1A">
        <w:rPr>
          <w:color w:val="000000"/>
        </w:rPr>
        <w:t xml:space="preserve"> okolišno i zdravstveno prihvatljiviji.  Međutim, bit svega je da se sustav planira </w:t>
      </w:r>
      <w:r>
        <w:rPr>
          <w:color w:val="000000"/>
        </w:rPr>
        <w:t>tako da se poštuju viši stupnje</w:t>
      </w:r>
      <w:r w:rsidRPr="005C7A1A">
        <w:rPr>
          <w:color w:val="000000"/>
        </w:rPr>
        <w:t>vi hijerarhije koji mogu zbrinuti najveći dio otpada</w:t>
      </w:r>
      <w:r>
        <w:rPr>
          <w:color w:val="000000"/>
        </w:rPr>
        <w:t>, nakon čega</w:t>
      </w:r>
      <w:r w:rsidRPr="005C7A1A">
        <w:rPr>
          <w:color w:val="000000"/>
        </w:rPr>
        <w:t xml:space="preserve"> ostaju male količine ostatnog otpada koje ni</w:t>
      </w:r>
      <w:r>
        <w:rPr>
          <w:color w:val="000000"/>
        </w:rPr>
        <w:t>su</w:t>
      </w:r>
      <w:r w:rsidRPr="005C7A1A">
        <w:rPr>
          <w:color w:val="000000"/>
        </w:rPr>
        <w:t xml:space="preserve"> tako problematičn</w:t>
      </w:r>
      <w:r>
        <w:rPr>
          <w:color w:val="000000"/>
        </w:rPr>
        <w:t>e za zbrinjavanje</w:t>
      </w:r>
      <w:r w:rsidRPr="005C7A1A">
        <w:rPr>
          <w:color w:val="000000"/>
        </w:rPr>
        <w:t xml:space="preserve">. Ovaj prijedlog Plana ide </w:t>
      </w:r>
      <w:r>
        <w:rPr>
          <w:color w:val="000000"/>
        </w:rPr>
        <w:t>u suprotnom smjeru</w:t>
      </w:r>
      <w:r w:rsidRPr="005C7A1A">
        <w:rPr>
          <w:color w:val="000000"/>
        </w:rPr>
        <w:t xml:space="preserve"> i planira kako zbrinuti miješani otpad umjesto da planira kako </w:t>
      </w:r>
      <w:r>
        <w:rPr>
          <w:color w:val="000000"/>
        </w:rPr>
        <w:t>smanjiti njegovo nastajanje</w:t>
      </w:r>
      <w:r w:rsidRPr="005C7A1A">
        <w:rPr>
          <w:color w:val="000000"/>
        </w:rPr>
        <w:t>. Potrebno je pro</w:t>
      </w:r>
      <w:r>
        <w:rPr>
          <w:color w:val="000000"/>
        </w:rPr>
        <w:t>vesti detaljne analize svih</w:t>
      </w:r>
      <w:r w:rsidRPr="005C7A1A">
        <w:rPr>
          <w:color w:val="000000"/>
        </w:rPr>
        <w:t xml:space="preserve"> mogućnosti zbrinjavanja otpada, transparentno izložiti spomenute analize i objasniti zašto se odabire određeni sustav za gospodarenje otpadom</w:t>
      </w:r>
    </w:p>
    <w:p w:rsidR="00635C78" w:rsidRDefault="00635C78" w:rsidP="00540A22">
      <w:pPr>
        <w:tabs>
          <w:tab w:val="left" w:pos="1646"/>
        </w:tabs>
        <w:jc w:val="both"/>
        <w:rPr>
          <w:color w:val="000000"/>
        </w:rPr>
      </w:pPr>
    </w:p>
    <w:p w:rsidR="00635C78" w:rsidRPr="005C7A1A" w:rsidRDefault="00635C78" w:rsidP="00540A22">
      <w:pPr>
        <w:tabs>
          <w:tab w:val="left" w:pos="1646"/>
        </w:tabs>
        <w:jc w:val="both"/>
        <w:rPr>
          <w:color w:val="000000"/>
        </w:rPr>
      </w:pPr>
    </w:p>
    <w:p w:rsidR="00635C78" w:rsidRPr="005C7A1A" w:rsidRDefault="00635C78" w:rsidP="00540A22">
      <w:pPr>
        <w:tabs>
          <w:tab w:val="left" w:pos="1646"/>
        </w:tabs>
        <w:jc w:val="both"/>
        <w:rPr>
          <w:color w:val="000000"/>
        </w:rPr>
      </w:pPr>
      <w:r w:rsidRPr="00635C78">
        <w:rPr>
          <w:b/>
          <w:color w:val="000000"/>
          <w:u w:val="single"/>
        </w:rPr>
        <w:t>CITAT</w:t>
      </w:r>
    </w:p>
    <w:p w:rsidR="00635C78" w:rsidRPr="005C7A1A" w:rsidRDefault="00635C78" w:rsidP="00540A22">
      <w:pPr>
        <w:tabs>
          <w:tab w:val="left" w:pos="1646"/>
        </w:tabs>
        <w:jc w:val="both"/>
        <w:rPr>
          <w:color w:val="000000"/>
        </w:rPr>
      </w:pPr>
      <w:r w:rsidRPr="005C7A1A">
        <w:rPr>
          <w:color w:val="000000"/>
        </w:rPr>
        <w:t>str. 66, r. 1640-1647</w:t>
      </w:r>
    </w:p>
    <w:p w:rsidR="00635C78" w:rsidRPr="005C7A1A" w:rsidRDefault="00635C78" w:rsidP="00540A22">
      <w:pPr>
        <w:tabs>
          <w:tab w:val="left" w:pos="1646"/>
        </w:tabs>
        <w:jc w:val="both"/>
      </w:pPr>
      <w:r>
        <w:t>„</w:t>
      </w:r>
      <w:r w:rsidRPr="005C7A1A">
        <w:t xml:space="preserve">Cijeli sustav gospodarenja otpadom zasnovan je </w:t>
      </w:r>
      <w:proofErr w:type="gramStart"/>
      <w:r w:rsidRPr="005C7A1A">
        <w:t>na</w:t>
      </w:r>
      <w:proofErr w:type="gramEnd"/>
      <w:r w:rsidRPr="005C7A1A">
        <w:t xml:space="preserve"> uravnoteženoj primjeni svih pet stupnjeva reda prvenstva gospodarenja otpadom (prevencija, ponovno korištenje, recikliranje, oporaba, zbrinjavanje), dok je cilj također samodostatnost i održivost sustava bez potrebe, odnosno s minimiziranjem potrebe za obradom otpada i sirovina dobivenih obradom otpada izvan granica RH. U skladu s tim proizlazi potreba za energetskom oporabom ostatnog dijela otpada koji se ne može drugačije oporabiti/ponovo iskoristiti, a koji su rezultat obrade otpada u centrima za gospodarenje otpadom te otpadnog mulja sa uređaja za pročišćavanje otpadnih voda za koji trenutno ne postoji odgovarajuće rješenje obrade pa se isti uglavnom privremeno skladišti</w:t>
      </w:r>
      <w:proofErr w:type="gramStart"/>
      <w:r w:rsidRPr="005C7A1A">
        <w:t>.</w:t>
      </w:r>
      <w:r>
        <w:t>“</w:t>
      </w:r>
      <w:proofErr w:type="gramEnd"/>
    </w:p>
    <w:p w:rsidR="00635C78" w:rsidRDefault="00635C78" w:rsidP="00540A22">
      <w:pPr>
        <w:tabs>
          <w:tab w:val="left" w:pos="1646"/>
        </w:tabs>
        <w:jc w:val="both"/>
        <w:rPr>
          <w:b/>
        </w:rPr>
      </w:pPr>
    </w:p>
    <w:p w:rsidR="00635C78" w:rsidRPr="005C7A1A" w:rsidRDefault="00635C78" w:rsidP="00540A22">
      <w:pPr>
        <w:tabs>
          <w:tab w:val="left" w:pos="1646"/>
        </w:tabs>
        <w:jc w:val="both"/>
      </w:pPr>
      <w:r w:rsidRPr="00FF4E24">
        <w:rPr>
          <w:b/>
        </w:rPr>
        <w:t>KOMENTAR I PREPORUKA</w:t>
      </w:r>
    </w:p>
    <w:p w:rsidR="00635C78" w:rsidRDefault="00635C78" w:rsidP="00540A22">
      <w:pPr>
        <w:tabs>
          <w:tab w:val="left" w:pos="1646"/>
        </w:tabs>
        <w:jc w:val="both"/>
      </w:pPr>
      <w:r w:rsidRPr="005C7A1A">
        <w:t>Netočno je da je cijeli sustav gospodarenja otpadom zasnovan na uravnoteženoj primjeni svih pet stupnjeva reda prvenstva gospodarenja otpadom (prevencija, ponovno korištenje, recikliranje, oporaba, zbrinjavanje), s obzirom da se Planom u detalje razrađuje koncept zbrinjavanja miješanog otpada spaljivanjem, a viši stupnjevi reda prvenstva se spominju sporadično</w:t>
      </w:r>
      <w:r>
        <w:t>,</w:t>
      </w:r>
      <w:r w:rsidRPr="005C7A1A">
        <w:t xml:space="preserve"> bez kvalitetnih mjera za </w:t>
      </w:r>
      <w:r>
        <w:t xml:space="preserve">njihovo </w:t>
      </w:r>
      <w:r w:rsidRPr="005C7A1A">
        <w:t>unaprjeđenje</w:t>
      </w:r>
      <w:r>
        <w:t>. Navedeno</w:t>
      </w:r>
      <w:r w:rsidRPr="005C7A1A">
        <w:t xml:space="preserve"> potvrđuje i činjenica da je od 22</w:t>
      </w:r>
      <w:r>
        <w:t xml:space="preserve"> </w:t>
      </w:r>
      <w:r w:rsidRPr="005C7A1A">
        <w:t>mlrd kn ukupno predviđenih za izvršenje Plana jako mal</w:t>
      </w:r>
      <w:r>
        <w:t>i iznos</w:t>
      </w:r>
      <w:r w:rsidRPr="005C7A1A">
        <w:t xml:space="preserve"> predviđen za više stupnjeve hijerarhije</w:t>
      </w:r>
      <w:proofErr w:type="gramStart"/>
      <w:r>
        <w:t>,a</w:t>
      </w:r>
      <w:proofErr w:type="gramEnd"/>
      <w:r w:rsidRPr="005C7A1A">
        <w:t xml:space="preserve"> u koje bi trebalo više ulagati. Dakle, ne samo da </w:t>
      </w:r>
      <w:r>
        <w:t>sustav nije uravnotežen,</w:t>
      </w:r>
      <w:r w:rsidRPr="005C7A1A">
        <w:t xml:space="preserve"> već se prioritet daje mjerama koje su daleko ispod prioritetnih. Također, netočno je da se energetska oporaba (spaljivanje) planira samo</w:t>
      </w:r>
      <w:r>
        <w:t xml:space="preserve"> </w:t>
      </w:r>
      <w:r w:rsidRPr="005C7A1A">
        <w:t>za otpad koji se ne može dru</w:t>
      </w:r>
      <w:r>
        <w:t>kčije</w:t>
      </w:r>
      <w:r w:rsidRPr="005C7A1A">
        <w:t xml:space="preserve"> iskoris</w:t>
      </w:r>
      <w:r>
        <w:t>t</w:t>
      </w:r>
      <w:r w:rsidRPr="005C7A1A">
        <w:t xml:space="preserve">iti </w:t>
      </w:r>
      <w:r>
        <w:t>- brojni pr</w:t>
      </w:r>
      <w:r w:rsidRPr="005C7A1A">
        <w:t xml:space="preserve">ihvatljiviji i </w:t>
      </w:r>
      <w:proofErr w:type="gramStart"/>
      <w:r w:rsidRPr="005C7A1A">
        <w:t>isplativiji  načini</w:t>
      </w:r>
      <w:proofErr w:type="gramEnd"/>
      <w:r>
        <w:t xml:space="preserve"> iskorištavanja ostatnog otpada</w:t>
      </w:r>
      <w:r w:rsidRPr="005C7A1A">
        <w:t xml:space="preserve"> i otpadnog mulja nisu niti uzeti u obzir</w:t>
      </w:r>
      <w:r>
        <w:t>.</w:t>
      </w:r>
    </w:p>
    <w:p w:rsidR="00635C78" w:rsidRPr="005C7A1A" w:rsidRDefault="00635C78" w:rsidP="00540A22">
      <w:pPr>
        <w:tabs>
          <w:tab w:val="left" w:pos="1646"/>
        </w:tabs>
        <w:jc w:val="both"/>
      </w:pPr>
      <w:r w:rsidRPr="005C7A1A">
        <w:t xml:space="preserve"> </w:t>
      </w:r>
      <w:r>
        <w:t>P</w:t>
      </w:r>
      <w:r w:rsidRPr="005C7A1A">
        <w:t>otrebno je provesti detaljne analize svih svih mogućnosti zbrinjavanja otpada, transparentno izložiti spomenute analize i objasniti zašto se odabire određeni sustav za gospodarenje otpadom.</w:t>
      </w:r>
    </w:p>
    <w:p w:rsidR="00635C78" w:rsidRDefault="00635C78" w:rsidP="00540A22">
      <w:pPr>
        <w:tabs>
          <w:tab w:val="left" w:pos="1646"/>
        </w:tabs>
        <w:jc w:val="both"/>
      </w:pPr>
    </w:p>
    <w:p w:rsidR="00635C78" w:rsidRPr="005C7A1A" w:rsidRDefault="00635C78" w:rsidP="00540A22">
      <w:pPr>
        <w:tabs>
          <w:tab w:val="left" w:pos="1646"/>
        </w:tabs>
        <w:jc w:val="both"/>
      </w:pPr>
      <w:r w:rsidRPr="00635C78">
        <w:rPr>
          <w:b/>
          <w:u w:val="single"/>
        </w:rPr>
        <w:t>CITAT</w:t>
      </w:r>
    </w:p>
    <w:p w:rsidR="00635C78" w:rsidRPr="00347D1A" w:rsidRDefault="00635C78" w:rsidP="00540A22">
      <w:pPr>
        <w:tabs>
          <w:tab w:val="left" w:pos="1646"/>
        </w:tabs>
        <w:jc w:val="both"/>
        <w:rPr>
          <w:iCs/>
        </w:rPr>
      </w:pPr>
      <w:r w:rsidRPr="005C7A1A">
        <w:t xml:space="preserve">str. 67, Slika 31. Shema </w:t>
      </w:r>
      <w:r w:rsidRPr="00347D1A">
        <w:rPr>
          <w:iCs/>
        </w:rPr>
        <w:t>gospodarenja otpadom u postrojenju za energetsku oporabu otpada</w:t>
      </w:r>
    </w:p>
    <w:p w:rsidR="00635C78" w:rsidRDefault="00635C78" w:rsidP="00540A22">
      <w:pPr>
        <w:tabs>
          <w:tab w:val="left" w:pos="1646"/>
        </w:tabs>
        <w:jc w:val="both"/>
        <w:rPr>
          <w:b/>
          <w:iCs/>
        </w:rPr>
      </w:pPr>
    </w:p>
    <w:p w:rsidR="00635C78" w:rsidRPr="00347D1A" w:rsidRDefault="00635C78" w:rsidP="00540A22">
      <w:pPr>
        <w:tabs>
          <w:tab w:val="left" w:pos="1646"/>
        </w:tabs>
        <w:jc w:val="both"/>
        <w:rPr>
          <w:iCs/>
        </w:rPr>
      </w:pPr>
      <w:r w:rsidRPr="00FF4E24">
        <w:rPr>
          <w:b/>
          <w:iCs/>
        </w:rPr>
        <w:t>KOMENTAR I PREPORUKA</w:t>
      </w:r>
    </w:p>
    <w:p w:rsidR="00635C78" w:rsidRPr="005C7A1A" w:rsidRDefault="00635C78" w:rsidP="00540A22">
      <w:pPr>
        <w:tabs>
          <w:tab w:val="left" w:pos="1646"/>
        </w:tabs>
        <w:jc w:val="both"/>
      </w:pPr>
      <w:r w:rsidRPr="005C7A1A">
        <w:lastRenderedPageBreak/>
        <w:t xml:space="preserve">Postrojenja za termičku obradu otpada su poznata po niskom stupnju energetske učinkovitosti. Uzrok tome je što neki dijelovi otpada zapravo nemaju kaloričnu vrijednost (kamen, staklo, prašina), dok je većina organskog otpada koji dolazi u postrojenja veoma vlažna </w:t>
      </w:r>
      <w:proofErr w:type="gramStart"/>
      <w:r w:rsidRPr="005C7A1A">
        <w:t>te</w:t>
      </w:r>
      <w:proofErr w:type="gramEnd"/>
      <w:r w:rsidRPr="005C7A1A">
        <w:t xml:space="preserve"> samim time ima i nisku kaloričnu vrijednost. Uz to, gledajući i cjelokupni životni tok proizvoda, recikliranje ima u konačnici puno veću u</w:t>
      </w:r>
      <w:r>
        <w:t xml:space="preserve">štedu energije nego spalionica </w:t>
      </w:r>
      <w:r w:rsidRPr="005C7A1A">
        <w:t xml:space="preserve">jer </w:t>
      </w:r>
      <w:r>
        <w:t>je</w:t>
      </w:r>
      <w:r w:rsidRPr="005C7A1A">
        <w:t xml:space="preserve"> udio energije potrebne za </w:t>
      </w:r>
      <w:proofErr w:type="gramStart"/>
      <w:r w:rsidRPr="005C7A1A">
        <w:t>reciklažu  niži</w:t>
      </w:r>
      <w:proofErr w:type="gramEnd"/>
      <w:r w:rsidRPr="005C7A1A">
        <w:t xml:space="preserve"> od energije potrebne za proizvodnju novih proizvoda.</w:t>
      </w:r>
    </w:p>
    <w:p w:rsidR="00635C78" w:rsidRPr="005C7A1A" w:rsidRDefault="00635C78" w:rsidP="00540A22">
      <w:pPr>
        <w:tabs>
          <w:tab w:val="left" w:pos="1646"/>
        </w:tabs>
        <w:jc w:val="both"/>
      </w:pPr>
      <w:r w:rsidRPr="005C7A1A">
        <w:t xml:space="preserve">Navedene izračune o proizvedenoj toplinskoj i električnoj energiji potrebno je </w:t>
      </w:r>
      <w:r>
        <w:t>dopuniti i</w:t>
      </w:r>
      <w:r w:rsidRPr="005C7A1A">
        <w:t xml:space="preserve"> brojem kućanstava </w:t>
      </w:r>
      <w:r>
        <w:t xml:space="preserve">za </w:t>
      </w:r>
      <w:r w:rsidRPr="005C7A1A">
        <w:t xml:space="preserve">koja </w:t>
      </w:r>
      <w:r>
        <w:t>je planirana opskrba</w:t>
      </w:r>
      <w:r w:rsidRPr="005C7A1A">
        <w:t xml:space="preserve"> navedenom energijom, kao i</w:t>
      </w:r>
      <w:r>
        <w:t xml:space="preserve"> podatkom koliko takve</w:t>
      </w:r>
      <w:r w:rsidRPr="005C7A1A">
        <w:t xml:space="preserve"> energije </w:t>
      </w:r>
      <w:proofErr w:type="gramStart"/>
      <w:r>
        <w:t>će</w:t>
      </w:r>
      <w:proofErr w:type="gramEnd"/>
      <w:r>
        <w:t xml:space="preserve"> biti utrošeno na</w:t>
      </w:r>
      <w:r w:rsidRPr="005C7A1A">
        <w:t xml:space="preserve"> rad samog CGO</w:t>
      </w:r>
      <w:r>
        <w:t xml:space="preserve">. Također, potrebno je iznijeti </w:t>
      </w:r>
      <w:r w:rsidRPr="005C7A1A">
        <w:t xml:space="preserve">usporedbu energije koja se štedi reciklažom </w:t>
      </w:r>
      <w:r>
        <w:t xml:space="preserve">i dobiva anaerobnom digestijom </w:t>
      </w:r>
      <w:r w:rsidRPr="005C7A1A">
        <w:t xml:space="preserve">naspram energije koja se planira dobivati </w:t>
      </w:r>
      <w:r>
        <w:t>spaljivanjem. Količina e</w:t>
      </w:r>
      <w:r w:rsidRPr="005C7A1A">
        <w:t>nergij</w:t>
      </w:r>
      <w:r>
        <w:t>e</w:t>
      </w:r>
      <w:r w:rsidRPr="005C7A1A">
        <w:t xml:space="preserve"> </w:t>
      </w:r>
      <w:r>
        <w:t xml:space="preserve">ušteđene recikliranjem bez sumnje </w:t>
      </w:r>
      <w:proofErr w:type="gramStart"/>
      <w:r>
        <w:t>će</w:t>
      </w:r>
      <w:proofErr w:type="gramEnd"/>
      <w:r>
        <w:t xml:space="preserve"> </w:t>
      </w:r>
      <w:r w:rsidRPr="005C7A1A">
        <w:t xml:space="preserve">višestruko nadmašivati </w:t>
      </w:r>
      <w:r>
        <w:t>onu</w:t>
      </w:r>
      <w:r w:rsidRPr="005C7A1A">
        <w:t xml:space="preserve"> dobivenu spaljivanjem</w:t>
      </w:r>
      <w:r>
        <w:t xml:space="preserve"> što bi dokazalo besmislenost sustava koji se predlaže ovim Planom</w:t>
      </w:r>
      <w:r w:rsidRPr="005C7A1A">
        <w:t>.</w:t>
      </w:r>
    </w:p>
    <w:p w:rsidR="00635C78" w:rsidRPr="005C7A1A" w:rsidRDefault="00635C78" w:rsidP="00540A22">
      <w:pPr>
        <w:tabs>
          <w:tab w:val="left" w:pos="1646"/>
        </w:tabs>
        <w:jc w:val="both"/>
      </w:pPr>
    </w:p>
    <w:p w:rsidR="00635C78" w:rsidRPr="005C7A1A" w:rsidRDefault="00635C78" w:rsidP="00540A22">
      <w:pPr>
        <w:tabs>
          <w:tab w:val="left" w:pos="1646"/>
        </w:tabs>
        <w:jc w:val="both"/>
      </w:pPr>
      <w:r w:rsidRPr="00635C78">
        <w:rPr>
          <w:b/>
          <w:u w:val="single"/>
        </w:rPr>
        <w:t>CITAT</w:t>
      </w:r>
    </w:p>
    <w:p w:rsidR="00635C78" w:rsidRPr="005C7A1A" w:rsidRDefault="00635C78" w:rsidP="00540A22">
      <w:pPr>
        <w:tabs>
          <w:tab w:val="left" w:pos="1646"/>
        </w:tabs>
        <w:jc w:val="both"/>
      </w:pPr>
      <w:proofErr w:type="gramStart"/>
      <w:r w:rsidRPr="005C7A1A">
        <w:t>str</w:t>
      </w:r>
      <w:proofErr w:type="gramEnd"/>
      <w:r w:rsidRPr="005C7A1A">
        <w:t>. 67/68, r. 1676-1683</w:t>
      </w:r>
    </w:p>
    <w:p w:rsidR="00635C78" w:rsidRDefault="00635C78" w:rsidP="00540A22">
      <w:pPr>
        <w:tabs>
          <w:tab w:val="left" w:pos="1646"/>
        </w:tabs>
        <w:jc w:val="both"/>
      </w:pPr>
      <w:r>
        <w:t>„</w:t>
      </w:r>
      <w:r w:rsidRPr="005C7A1A">
        <w:t>Razmatrajući širi aspekt doprinosa energetske oporabe otpada izuzev odgovarajuće zaštite okoliša i važnosti ovog postupka obrade za ostvarenje zakonski postavljenih ciljeva ekonomski doprinos nije zanemariv.</w:t>
      </w:r>
    </w:p>
    <w:p w:rsidR="00635C78" w:rsidRPr="005C7A1A" w:rsidRDefault="00635C78" w:rsidP="00540A22">
      <w:pPr>
        <w:tabs>
          <w:tab w:val="left" w:pos="1646"/>
        </w:tabs>
        <w:jc w:val="both"/>
      </w:pPr>
      <w:r w:rsidRPr="005C7A1A">
        <w:t>Procijenjena ukupna potencijalna količina energije iz otpadnog mulja i goriva iz otpada iznosi 6.812.427 1679 GJ godišnje. Ako navedeno promatramo sa financijsko-ekonomskog aspekta, pri čemu se ne smije zanemariti pozitivni doprinos vezan za učinkovito korištenje resursa, iskorištavanjem energetskog potencijala otpada moguća je ušteda od oko 80.000.000 miliona kuna godišnje, odnosno može se ostvariti smanjenje potrošnje kamenog ugljena za preko 200.000 tona godišnje.</w:t>
      </w:r>
      <w:r>
        <w:t>“</w:t>
      </w:r>
    </w:p>
    <w:p w:rsidR="00635C78" w:rsidRPr="005C7A1A" w:rsidRDefault="00635C78" w:rsidP="00540A22">
      <w:pPr>
        <w:pStyle w:val="Default"/>
        <w:jc w:val="both"/>
        <w:rPr>
          <w:color w:val="auto"/>
        </w:rPr>
      </w:pPr>
    </w:p>
    <w:p w:rsidR="00635C78" w:rsidRPr="005C7A1A" w:rsidRDefault="00635C78" w:rsidP="00540A22">
      <w:pPr>
        <w:pStyle w:val="Default"/>
        <w:jc w:val="both"/>
        <w:rPr>
          <w:color w:val="auto"/>
        </w:rPr>
      </w:pPr>
      <w:r w:rsidRPr="00FF4E24">
        <w:rPr>
          <w:b/>
          <w:color w:val="auto"/>
        </w:rPr>
        <w:t>KOMENTAR I PREPORUKA</w:t>
      </w:r>
    </w:p>
    <w:p w:rsidR="00635C78" w:rsidRPr="005C7A1A" w:rsidRDefault="00635C78" w:rsidP="00540A22">
      <w:pPr>
        <w:pStyle w:val="Default"/>
        <w:jc w:val="both"/>
      </w:pPr>
      <w:r>
        <w:t>Netočno je tvrditi da sp</w:t>
      </w:r>
      <w:r w:rsidRPr="005C7A1A">
        <w:t>aljivanje otpada doprinosi zaštiti okoliša</w:t>
      </w:r>
      <w:r>
        <w:t>.</w:t>
      </w:r>
      <w:r w:rsidRPr="005C7A1A">
        <w:t xml:space="preserve"> Spaljivanje zagađuje, uništava resurse i u</w:t>
      </w:r>
      <w:r>
        <w:t xml:space="preserve"> </w:t>
      </w:r>
      <w:r w:rsidRPr="005C7A1A">
        <w:t>svakom je pogledu</w:t>
      </w:r>
      <w:r>
        <w:t xml:space="preserve"> -</w:t>
      </w:r>
      <w:r w:rsidRPr="005C7A1A">
        <w:t xml:space="preserve"> okol</w:t>
      </w:r>
      <w:r>
        <w:t>išnom, energetskom i ekonomskom -</w:t>
      </w:r>
      <w:r w:rsidRPr="005C7A1A">
        <w:t xml:space="preserve"> inferiorno u odnosu na re</w:t>
      </w:r>
      <w:r>
        <w:t>cikliranje otpada. Jednako tako je</w:t>
      </w:r>
      <w:r w:rsidRPr="005C7A1A">
        <w:t xml:space="preserve"> netočno da će se sustavom spaljivanja ispuniti ci</w:t>
      </w:r>
      <w:r>
        <w:t xml:space="preserve">ljevi odvajanja i recikliranja, pošto je takav sustav po samoj svojoj biti </w:t>
      </w:r>
      <w:r w:rsidRPr="005C7A1A">
        <w:t xml:space="preserve">suprotan sustavu recikliranja otpada. Također, netočno je </w:t>
      </w:r>
      <w:r>
        <w:t xml:space="preserve">i </w:t>
      </w:r>
      <w:r w:rsidRPr="005C7A1A">
        <w:t xml:space="preserve">da sustav spaljivanja ima ekonomske koristi. </w:t>
      </w:r>
      <w:r>
        <w:t xml:space="preserve">Dokazano je na više svjetskih primjera </w:t>
      </w:r>
      <w:r w:rsidRPr="005C7A1A">
        <w:t>da je spaljivanje najskuplji način obrade otpada</w:t>
      </w:r>
      <w:r>
        <w:t>,</w:t>
      </w:r>
      <w:r w:rsidRPr="005C7A1A">
        <w:t xml:space="preserve"> čiji sveukupni trošak višestruko nadmašuje troškove u sustavu odvajanja i recikliranja otpada. Zahtijevamo izmjenu prijedloga Plana i usklađivanje s nacionalnim zakonodavstvom koje </w:t>
      </w:r>
      <w:r>
        <w:t>ima implementirane ciljeve određene</w:t>
      </w:r>
      <w:r w:rsidRPr="005C7A1A">
        <w:t xml:space="preserve"> EU direktiva</w:t>
      </w:r>
      <w:r>
        <w:t>ma, na način da</w:t>
      </w:r>
      <w:r w:rsidRPr="005C7A1A">
        <w:t xml:space="preserve"> poštuje hijerarhiju gospodarenja otpadom, ulaže najviše sredstava u prevenciju nastanka otpada i reciklažu, a način zbrinjavanja i obradu ostatnog otpada određuje tek nakon provedenih svih validnih analiza koje su za ovaj prijedlog Plana izostale.  </w:t>
      </w:r>
    </w:p>
    <w:p w:rsidR="00635C78" w:rsidRDefault="00635C78" w:rsidP="00540A22">
      <w:pPr>
        <w:pStyle w:val="Default"/>
        <w:jc w:val="both"/>
      </w:pPr>
    </w:p>
    <w:p w:rsidR="00635C78" w:rsidRPr="005C7A1A" w:rsidRDefault="00635C78" w:rsidP="00540A22">
      <w:pPr>
        <w:pStyle w:val="Default"/>
        <w:jc w:val="both"/>
      </w:pPr>
    </w:p>
    <w:p w:rsidR="00635C78" w:rsidRPr="005C7A1A" w:rsidRDefault="00635C78" w:rsidP="00540A22">
      <w:pPr>
        <w:pStyle w:val="Default"/>
        <w:jc w:val="both"/>
      </w:pPr>
      <w:r w:rsidRPr="00635C78">
        <w:rPr>
          <w:b/>
          <w:u w:val="single"/>
        </w:rPr>
        <w:t>CITAT</w:t>
      </w:r>
    </w:p>
    <w:p w:rsidR="00635C78" w:rsidRPr="005C7A1A" w:rsidRDefault="00635C78" w:rsidP="00540A22">
      <w:pPr>
        <w:pStyle w:val="Default"/>
        <w:jc w:val="both"/>
      </w:pPr>
      <w:r w:rsidRPr="005C7A1A">
        <w:t>str.68, r. 1684, 1685, 1686</w:t>
      </w:r>
    </w:p>
    <w:p w:rsidR="00635C78" w:rsidRPr="005C7A1A" w:rsidRDefault="00635C78" w:rsidP="00540A22">
      <w:pPr>
        <w:pStyle w:val="Default"/>
        <w:jc w:val="both"/>
      </w:pPr>
      <w:r w:rsidRPr="005C7A1A">
        <w:t xml:space="preserve"> </w:t>
      </w:r>
    </w:p>
    <w:p w:rsidR="00635C78" w:rsidRPr="005C7A1A" w:rsidRDefault="00635C78" w:rsidP="00540A22">
      <w:pPr>
        <w:pStyle w:val="Default"/>
        <w:jc w:val="both"/>
      </w:pPr>
      <w:r>
        <w:t>„</w:t>
      </w:r>
      <w:r w:rsidRPr="005C7A1A">
        <w:t>Regionalno promatrano, zamjenom korištenja kamenog ugljena sa otpadom kao izvorom energije procijenjena moguća ušteda za područje sjeverozapadne Hrvatske iznosi 23.807.708 kn godišnje, za područje istočne Hrvatske 18.587.801 kn, Dalmacije 22.692.130 kn te za Grad Zagreb 14.390.673 kn.</w:t>
      </w:r>
      <w:r>
        <w:t>“</w:t>
      </w:r>
    </w:p>
    <w:p w:rsidR="00635C78" w:rsidRPr="005C7A1A" w:rsidRDefault="00635C78" w:rsidP="00540A22">
      <w:pPr>
        <w:pStyle w:val="Default"/>
        <w:jc w:val="both"/>
      </w:pPr>
    </w:p>
    <w:p w:rsidR="00635C78" w:rsidRPr="005C7A1A" w:rsidRDefault="00635C78" w:rsidP="00540A22">
      <w:pPr>
        <w:pStyle w:val="Default"/>
        <w:jc w:val="both"/>
      </w:pPr>
      <w:r w:rsidRPr="00FF4E24">
        <w:rPr>
          <w:b/>
        </w:rPr>
        <w:t>KOMENTAR I PREPORUKA</w:t>
      </w:r>
    </w:p>
    <w:p w:rsidR="00635C78" w:rsidRPr="005C7A1A" w:rsidRDefault="00635C78" w:rsidP="00540A22">
      <w:pPr>
        <w:autoSpaceDE w:val="0"/>
        <w:autoSpaceDN w:val="0"/>
        <w:adjustRightInd w:val="0"/>
        <w:jc w:val="both"/>
        <w:rPr>
          <w:color w:val="000000"/>
        </w:rPr>
      </w:pPr>
      <w:r>
        <w:rPr>
          <w:color w:val="000000"/>
        </w:rPr>
        <w:lastRenderedPageBreak/>
        <w:t>Plasiranje</w:t>
      </w:r>
      <w:r w:rsidRPr="005C7A1A">
        <w:rPr>
          <w:color w:val="000000"/>
        </w:rPr>
        <w:t xml:space="preserve"> goriva iz otp</w:t>
      </w:r>
      <w:r>
        <w:rPr>
          <w:color w:val="000000"/>
        </w:rPr>
        <w:t>ada na tržište izuzetno je teško</w:t>
      </w:r>
      <w:r w:rsidRPr="005C7A1A">
        <w:rPr>
          <w:color w:val="000000"/>
        </w:rPr>
        <w:t xml:space="preserve"> jer je </w:t>
      </w:r>
      <w:r>
        <w:rPr>
          <w:color w:val="000000"/>
        </w:rPr>
        <w:t>riječ o</w:t>
      </w:r>
      <w:r w:rsidRPr="005C7A1A">
        <w:rPr>
          <w:color w:val="000000"/>
        </w:rPr>
        <w:t xml:space="preserve"> goriv</w:t>
      </w:r>
      <w:r>
        <w:rPr>
          <w:color w:val="000000"/>
        </w:rPr>
        <w:t>u</w:t>
      </w:r>
      <w:r w:rsidRPr="005C7A1A">
        <w:rPr>
          <w:color w:val="000000"/>
        </w:rPr>
        <w:t xml:space="preserve"> niske kvalitete</w:t>
      </w:r>
      <w:r>
        <w:rPr>
          <w:color w:val="000000"/>
        </w:rPr>
        <w:t xml:space="preserve">, zbog </w:t>
      </w:r>
      <w:proofErr w:type="gramStart"/>
      <w:r>
        <w:rPr>
          <w:color w:val="000000"/>
        </w:rPr>
        <w:t>čega</w:t>
      </w:r>
      <w:r w:rsidRPr="005C7A1A">
        <w:rPr>
          <w:color w:val="000000"/>
        </w:rPr>
        <w:t xml:space="preserve">  je</w:t>
      </w:r>
      <w:proofErr w:type="gramEnd"/>
      <w:r w:rsidRPr="005C7A1A">
        <w:rPr>
          <w:color w:val="000000"/>
        </w:rPr>
        <w:t xml:space="preserve"> niz europskih zemalja</w:t>
      </w:r>
      <w:r>
        <w:rPr>
          <w:color w:val="000000"/>
        </w:rPr>
        <w:t xml:space="preserve"> i gradova</w:t>
      </w:r>
      <w:r w:rsidRPr="005C7A1A">
        <w:rPr>
          <w:color w:val="000000"/>
        </w:rPr>
        <w:t>, poput N</w:t>
      </w:r>
      <w:r>
        <w:rPr>
          <w:color w:val="000000"/>
        </w:rPr>
        <w:t>j</w:t>
      </w:r>
      <w:r w:rsidRPr="005C7A1A">
        <w:rPr>
          <w:color w:val="000000"/>
        </w:rPr>
        <w:t>emačke i Italije</w:t>
      </w:r>
      <w:r>
        <w:rPr>
          <w:color w:val="000000"/>
        </w:rPr>
        <w:t xml:space="preserve"> te Barcelone,</w:t>
      </w:r>
      <w:r w:rsidRPr="005C7A1A">
        <w:rPr>
          <w:color w:val="000000"/>
        </w:rPr>
        <w:t xml:space="preserve"> koji su se suočili s poteškoćama plasmana, odustalo od takvog koncepta i krenulo u smjeru ekološki održivog gospodarenja otpadom</w:t>
      </w:r>
      <w:r>
        <w:rPr>
          <w:color w:val="000000"/>
        </w:rPr>
        <w:t>. Nadalje</w:t>
      </w:r>
      <w:r w:rsidRPr="005C7A1A">
        <w:rPr>
          <w:color w:val="000000"/>
        </w:rPr>
        <w:t xml:space="preserve">, poticanje spaljivanja takvog goriva u cementarama apsolutno je neekološko postupanje s otpadom jer je poznato da su cementare jedne </w:t>
      </w:r>
      <w:proofErr w:type="gramStart"/>
      <w:r w:rsidRPr="005C7A1A">
        <w:rPr>
          <w:color w:val="000000"/>
        </w:rPr>
        <w:t>od</w:t>
      </w:r>
      <w:proofErr w:type="gramEnd"/>
      <w:r w:rsidRPr="005C7A1A">
        <w:rPr>
          <w:color w:val="000000"/>
        </w:rPr>
        <w:t xml:space="preserve"> najodgovornijih za emisije štetnih stakleničkih plinova u atmosferu. Uz to, cementare ne posjeduju filtere koji bi zaustavili štetne kemijske spojeve poput dioksina i furana koji ugrožavaju ljudsko zdravlje</w:t>
      </w:r>
      <w:r>
        <w:rPr>
          <w:color w:val="000000"/>
        </w:rPr>
        <w:t>,</w:t>
      </w:r>
      <w:r w:rsidRPr="005C7A1A">
        <w:rPr>
          <w:color w:val="000000"/>
        </w:rPr>
        <w:t xml:space="preserve"> zbog čega je 2008. </w:t>
      </w:r>
      <w:proofErr w:type="gramStart"/>
      <w:r w:rsidRPr="005C7A1A">
        <w:rPr>
          <w:color w:val="000000"/>
        </w:rPr>
        <w:t>čak</w:t>
      </w:r>
      <w:proofErr w:type="gramEnd"/>
      <w:r w:rsidRPr="005C7A1A">
        <w:rPr>
          <w:color w:val="000000"/>
        </w:rPr>
        <w:t xml:space="preserve"> 35 000 europskih doktora medicine poslalo apel EU parlamentu da zabrani promociju spaljivanja otpada. </w:t>
      </w:r>
    </w:p>
    <w:p w:rsidR="00635C78" w:rsidRPr="005C7A1A" w:rsidRDefault="00635C78" w:rsidP="00540A22">
      <w:pPr>
        <w:pStyle w:val="Default"/>
        <w:jc w:val="both"/>
      </w:pPr>
      <w:r w:rsidRPr="005C7A1A">
        <w:t xml:space="preserve">Dakle, Ministarstvo pod izlikom zamjene spaljivanja fosilnih goriva spaljivanjem otpada želi progurati otpad u cementare, a ne razmišlja o </w:t>
      </w:r>
      <w:r>
        <w:t>prednostima</w:t>
      </w:r>
      <w:r w:rsidRPr="005C7A1A">
        <w:t xml:space="preserve"> koje bi donijela uspostava kvalitetnog sustava recikliranja</w:t>
      </w:r>
      <w:r>
        <w:t>,</w:t>
      </w:r>
      <w:r w:rsidRPr="005C7A1A">
        <w:t xml:space="preserve"> dok</w:t>
      </w:r>
      <w:r>
        <w:t>,</w:t>
      </w:r>
      <w:r w:rsidRPr="005C7A1A">
        <w:t xml:space="preserve"> </w:t>
      </w:r>
      <w:r>
        <w:t xml:space="preserve">s druge strane, </w:t>
      </w:r>
      <w:r w:rsidRPr="005C7A1A">
        <w:t>za smanjenje korištenja fosilnih goriva postoje rješenja u vidu alternativnih</w:t>
      </w:r>
      <w:r>
        <w:t>, obnovljivih</w:t>
      </w:r>
      <w:r w:rsidRPr="005C7A1A">
        <w:t xml:space="preserve"> izvora energije poput sunca i vjetra.</w:t>
      </w:r>
    </w:p>
    <w:p w:rsidR="00635C78" w:rsidRPr="005C7A1A" w:rsidRDefault="00635C78" w:rsidP="00540A22">
      <w:pPr>
        <w:pStyle w:val="Default"/>
        <w:jc w:val="both"/>
      </w:pPr>
    </w:p>
    <w:p w:rsidR="00635C78" w:rsidRPr="005C7A1A" w:rsidRDefault="00635C78" w:rsidP="00540A22">
      <w:pPr>
        <w:pStyle w:val="Default"/>
        <w:jc w:val="both"/>
      </w:pPr>
      <w:r w:rsidRPr="00635C78">
        <w:rPr>
          <w:b/>
          <w:u w:val="single"/>
        </w:rPr>
        <w:t>CITAT</w:t>
      </w:r>
      <w:r w:rsidRPr="005C7A1A">
        <w:t xml:space="preserve"> </w:t>
      </w:r>
    </w:p>
    <w:p w:rsidR="00635C78" w:rsidRPr="005C7A1A" w:rsidRDefault="00635C78" w:rsidP="00540A22">
      <w:pPr>
        <w:pStyle w:val="Default"/>
        <w:jc w:val="both"/>
      </w:pPr>
      <w:r w:rsidRPr="005C7A1A">
        <w:t>str. 69, r. 1718-1721</w:t>
      </w:r>
    </w:p>
    <w:p w:rsidR="00635C78" w:rsidRPr="005C7A1A" w:rsidRDefault="00635C78" w:rsidP="00540A22">
      <w:pPr>
        <w:pStyle w:val="Default"/>
        <w:jc w:val="both"/>
      </w:pPr>
      <w:r>
        <w:t>„</w:t>
      </w:r>
      <w:r w:rsidRPr="005C7A1A">
        <w:t>Energetsku oporabu treba promatrati kao sastavni dio cjelovitog sustava gospodarenja otpadom pri čemu u procesu planiranja zajedno treba razmotriti energetsku oporabu mulja, suspaljivanje goriva iz otpada i miješanog komunalnog otpada (za Grad Zagreb). Načelne lokacije za energetsku oporabu otpada su istočna Hrvatska, sjeverozapadna Hrvatska i Grad Zagreb, primorska i gorska Hrvatska i Dalmacija.</w:t>
      </w:r>
      <w:r>
        <w:t>“</w:t>
      </w:r>
    </w:p>
    <w:p w:rsidR="00635C78" w:rsidRPr="005C7A1A" w:rsidRDefault="00635C78" w:rsidP="00540A22">
      <w:pPr>
        <w:pStyle w:val="Default"/>
        <w:jc w:val="both"/>
      </w:pPr>
    </w:p>
    <w:p w:rsidR="00635C78" w:rsidRPr="005C7A1A" w:rsidRDefault="00635C78" w:rsidP="00540A22">
      <w:pPr>
        <w:pStyle w:val="Default"/>
        <w:jc w:val="both"/>
      </w:pPr>
      <w:r w:rsidRPr="00FF4E24">
        <w:rPr>
          <w:b/>
        </w:rPr>
        <w:t>KOMENTAR I PREPORUKA</w:t>
      </w:r>
    </w:p>
    <w:p w:rsidR="00635C78" w:rsidRPr="005C7A1A" w:rsidRDefault="00635C78" w:rsidP="00540A22">
      <w:pPr>
        <w:tabs>
          <w:tab w:val="left" w:pos="1646"/>
        </w:tabs>
        <w:jc w:val="both"/>
      </w:pPr>
      <w:r w:rsidRPr="005C7A1A">
        <w:t xml:space="preserve">Gdje </w:t>
      </w:r>
      <w:r>
        <w:t xml:space="preserve">se </w:t>
      </w:r>
      <w:r w:rsidRPr="005C7A1A">
        <w:t>planira spaljivati GIO (osušeno smeće) iz Ličko senjske, Zadarske, Spl</w:t>
      </w:r>
      <w:r>
        <w:t>itske</w:t>
      </w:r>
      <w:r w:rsidRPr="005C7A1A">
        <w:t>, Šib</w:t>
      </w:r>
      <w:r>
        <w:t>enske</w:t>
      </w:r>
      <w:r w:rsidRPr="005C7A1A">
        <w:t>, Dub</w:t>
      </w:r>
      <w:r>
        <w:t>rovačko-</w:t>
      </w:r>
      <w:r w:rsidRPr="005C7A1A">
        <w:t xml:space="preserve"> neret</w:t>
      </w:r>
      <w:r>
        <w:t>vanske</w:t>
      </w:r>
      <w:r w:rsidRPr="005C7A1A">
        <w:t xml:space="preserve"> žup</w:t>
      </w:r>
      <w:r>
        <w:t>anije</w:t>
      </w:r>
      <w:r w:rsidRPr="005C7A1A">
        <w:t xml:space="preserve"> s obzirom da je </w:t>
      </w:r>
      <w:r>
        <w:t>presudom Upravnog suda cementari Cemex zabranjeno spaljivanje</w:t>
      </w:r>
      <w:r w:rsidRPr="005C7A1A">
        <w:t xml:space="preserve">? Da li je uziman u obzir trošak prijevoza u sjeverne županije? Na nizu svjetskih primjera dokazano je da cementarama zbog spaljivanja GIO rastu troškovi održavanja. Jesu li razmotreni troškovi koji </w:t>
      </w:r>
      <w:proofErr w:type="gramStart"/>
      <w:r w:rsidRPr="005C7A1A">
        <w:t>će</w:t>
      </w:r>
      <w:proofErr w:type="gramEnd"/>
      <w:r w:rsidRPr="005C7A1A">
        <w:t xml:space="preserve"> nastati ako cementare iz tog razloga neće htjeti prihvaćati GIO?</w:t>
      </w:r>
    </w:p>
    <w:p w:rsidR="00635C78" w:rsidRPr="005C7A1A" w:rsidRDefault="00635C78" w:rsidP="00540A22">
      <w:pPr>
        <w:pStyle w:val="Default"/>
        <w:jc w:val="both"/>
      </w:pPr>
    </w:p>
    <w:p w:rsidR="00635C78" w:rsidRPr="005C7A1A" w:rsidRDefault="00635C78" w:rsidP="00540A22">
      <w:pPr>
        <w:pStyle w:val="Default"/>
        <w:jc w:val="both"/>
      </w:pPr>
      <w:r w:rsidRPr="00635C78">
        <w:rPr>
          <w:b/>
          <w:u w:val="single"/>
        </w:rPr>
        <w:t>CITAT</w:t>
      </w:r>
    </w:p>
    <w:p w:rsidR="00635C78" w:rsidRPr="005C7A1A" w:rsidRDefault="00635C78" w:rsidP="00540A22">
      <w:pPr>
        <w:pStyle w:val="Default"/>
        <w:jc w:val="both"/>
      </w:pPr>
      <w:r w:rsidRPr="005C7A1A">
        <w:t>str. 71, r. 1796-1803</w:t>
      </w:r>
    </w:p>
    <w:p w:rsidR="00635C78" w:rsidRPr="005C7A1A" w:rsidRDefault="00635C78" w:rsidP="00540A22">
      <w:pPr>
        <w:pStyle w:val="Default"/>
        <w:jc w:val="both"/>
      </w:pPr>
      <w:r>
        <w:t>„</w:t>
      </w:r>
      <w:r w:rsidRPr="005C7A1A">
        <w:t xml:space="preserve">Neki od uvjeta koje moraju zadovoljiti objekti sustava gospodarenja nižeg reda su: </w:t>
      </w:r>
    </w:p>
    <w:p w:rsidR="00635C78" w:rsidRPr="005C7A1A" w:rsidRDefault="00635C78" w:rsidP="00540A22">
      <w:pPr>
        <w:pStyle w:val="Default"/>
        <w:jc w:val="both"/>
      </w:pPr>
      <w:r w:rsidRPr="005C7A1A">
        <w:t xml:space="preserve">- prikupljanje na mjestu nastanka – spremnici na „kućnom pragu“ ili u krugu pravnih osoba za  odvojeno prikupljanje (ne postoje posebni uvjeti osim broja spremnika i zahtjeva za njihovom trajnošću i manipulativnim svojstvima) </w:t>
      </w:r>
    </w:p>
    <w:p w:rsidR="00635C78" w:rsidRDefault="00635C78" w:rsidP="00540A22">
      <w:pPr>
        <w:pStyle w:val="Default"/>
        <w:jc w:val="both"/>
      </w:pPr>
      <w:r w:rsidRPr="005C7A1A">
        <w:t>- prikupljanje na mjestu nastanka – spremnici na javnim površinama (zeleni otoci). U slučaju da su jedina mjera odvojenog prikupljanja otpada ne smiju biti na većoj udaljenosti od 300 m od krajnjeg korisnika te moraju biti lako pristupačni kako korisniku tako i pružatelju usluge sakupljanja otpada</w:t>
      </w:r>
      <w:r>
        <w:t>…“</w:t>
      </w:r>
    </w:p>
    <w:p w:rsidR="00635C78" w:rsidRPr="005C7A1A" w:rsidRDefault="00635C78" w:rsidP="00540A22">
      <w:pPr>
        <w:pStyle w:val="Default"/>
        <w:jc w:val="both"/>
      </w:pPr>
      <w:r w:rsidRPr="005C7A1A">
        <w:t xml:space="preserve"> </w:t>
      </w:r>
    </w:p>
    <w:p w:rsidR="00635C78" w:rsidRPr="005C7A1A" w:rsidRDefault="00635C78" w:rsidP="00540A22">
      <w:pPr>
        <w:pStyle w:val="Default"/>
        <w:jc w:val="both"/>
      </w:pPr>
      <w:r w:rsidRPr="00FF4E24">
        <w:rPr>
          <w:b/>
        </w:rPr>
        <w:t>KOMENTAR I PREPORUKA</w:t>
      </w:r>
    </w:p>
    <w:p w:rsidR="00635C78" w:rsidRDefault="00635C78" w:rsidP="00540A22">
      <w:pPr>
        <w:pStyle w:val="Default"/>
        <w:jc w:val="both"/>
      </w:pPr>
    </w:p>
    <w:p w:rsidR="00635C78" w:rsidRDefault="00635C78" w:rsidP="00540A22">
      <w:pPr>
        <w:pStyle w:val="Default"/>
        <w:jc w:val="both"/>
      </w:pPr>
      <w:r w:rsidRPr="005C7A1A">
        <w:t xml:space="preserve">Prijedlog Plana  trebao bi se temeljiti na unaprjeđenju sustava odvojenog prikupljanja i prilagođavanja sustava građanima. Međutim, predloženi sadržaj ne predstavlja gotovo nikakav kvalitativan pomak  s obzirom da se </w:t>
      </w:r>
      <w:r>
        <w:t xml:space="preserve">tek </w:t>
      </w:r>
      <w:r w:rsidRPr="005C7A1A">
        <w:t>sporadično spominje prikupljanje otpada na mjestu n</w:t>
      </w:r>
      <w:r>
        <w:t xml:space="preserve">astanka, i to bez kvalitetnih mjera i </w:t>
      </w:r>
      <w:r w:rsidRPr="005C7A1A">
        <w:t xml:space="preserve">u istom kontekstu </w:t>
      </w:r>
      <w:r>
        <w:t>sa</w:t>
      </w:r>
      <w:r w:rsidRPr="005C7A1A">
        <w:t xml:space="preserve"> skupljanje</w:t>
      </w:r>
      <w:r>
        <w:t>m</w:t>
      </w:r>
      <w:r w:rsidRPr="005C7A1A">
        <w:t xml:space="preserve"> otp</w:t>
      </w:r>
      <w:r>
        <w:t>a</w:t>
      </w:r>
      <w:r w:rsidRPr="005C7A1A">
        <w:t xml:space="preserve">da na zelenim otocima. Dakle, pokušava se uspostaviti trajni mehanizam koji u praksi neće povećati količinu odvojeno prikupljenog otpada, iako je to obaveza prema nacionalnim i europskim propisima. Ovaj Plan zapravo potiče jedinice lokalne samouprave na daljnje neefikasno odvajanje otpada </w:t>
      </w:r>
      <w:r w:rsidRPr="005C7A1A">
        <w:lastRenderedPageBreak/>
        <w:t xml:space="preserve">putem zelenih otoka. U glavnom gradu RH, primjerice, takvim se sustavom odvojeno prikuplja tek 1,6% ukupne količine otpada, što je postotak sa dna europske ljestvice. Sustav se ne približava građanima i ne opskrbljuje ih se potrebnom infrastrukturom, ne planiraju se nikakvi mehanizmi nadzora i kontrole odvajanja koji bi onemogućili zlouporabe sustava i ilegalno odlaganje itd. </w:t>
      </w:r>
      <w:r>
        <w:t>G</w:t>
      </w:r>
      <w:r w:rsidRPr="005C7A1A">
        <w:t>rađane se zakida za nj</w:t>
      </w:r>
      <w:r>
        <w:t>i</w:t>
      </w:r>
      <w:r w:rsidRPr="005C7A1A">
        <w:t>hovo zakonsko pravo po kojem sami mogu formirati svoje mjesečne račune za otpad ovisno o tome koliko otpada odvoje a koliko miješanog predaju te ih se ni na koji način ne motivira na odvajanje</w:t>
      </w:r>
      <w:r>
        <w:t>.</w:t>
      </w:r>
      <w:r w:rsidRPr="005C7A1A">
        <w:t xml:space="preserve"> Na nizu je</w:t>
      </w:r>
      <w:r>
        <w:t xml:space="preserve"> </w:t>
      </w:r>
      <w:r w:rsidRPr="005C7A1A">
        <w:t xml:space="preserve">svjetskih primjera </w:t>
      </w:r>
      <w:r>
        <w:t xml:space="preserve">gradova, većih od onih u RH, </w:t>
      </w:r>
      <w:r w:rsidRPr="005C7A1A">
        <w:t>dokazano da se u velikim gradovima može</w:t>
      </w:r>
      <w:r>
        <w:t xml:space="preserve"> u kratkom roku</w:t>
      </w:r>
      <w:r w:rsidRPr="005C7A1A">
        <w:t xml:space="preserve"> uspostaviti sustav odvajanja od vrata do vrata</w:t>
      </w:r>
      <w:r>
        <w:t>. Z</w:t>
      </w:r>
      <w:r w:rsidRPr="005C7A1A">
        <w:t>a za manje gradove</w:t>
      </w:r>
      <w:r>
        <w:t xml:space="preserve"> </w:t>
      </w:r>
      <w:r w:rsidRPr="005C7A1A">
        <w:t xml:space="preserve">i mjesta sustav je još lakše </w:t>
      </w:r>
      <w:r>
        <w:t>uspostaviti,</w:t>
      </w:r>
      <w:r w:rsidRPr="005C7A1A">
        <w:t xml:space="preserve"> što su pokazali i neki gradovi u RH</w:t>
      </w:r>
      <w:r>
        <w:t>,</w:t>
      </w:r>
      <w:r w:rsidRPr="005C7A1A">
        <w:t xml:space="preserve"> poput Preloga koji je građanima omogućio svu potrebnu infrastrukturu. </w:t>
      </w:r>
    </w:p>
    <w:p w:rsidR="00635C78" w:rsidRPr="005C7A1A" w:rsidRDefault="00635C78" w:rsidP="00540A22">
      <w:pPr>
        <w:pStyle w:val="Default"/>
        <w:jc w:val="both"/>
      </w:pPr>
    </w:p>
    <w:p w:rsidR="00635C78" w:rsidRDefault="00635C78" w:rsidP="00540A22">
      <w:pPr>
        <w:pStyle w:val="Default"/>
        <w:jc w:val="both"/>
      </w:pPr>
    </w:p>
    <w:p w:rsidR="00635C78" w:rsidRPr="005C7A1A" w:rsidRDefault="00635C78" w:rsidP="00540A22">
      <w:pPr>
        <w:pStyle w:val="Default"/>
        <w:jc w:val="both"/>
      </w:pPr>
      <w:r w:rsidRPr="00635C78">
        <w:rPr>
          <w:b/>
          <w:u w:val="single"/>
        </w:rPr>
        <w:t>CITAT</w:t>
      </w:r>
    </w:p>
    <w:p w:rsidR="00635C78" w:rsidRPr="005C7A1A" w:rsidRDefault="00635C78" w:rsidP="00540A22">
      <w:pPr>
        <w:pStyle w:val="Default"/>
        <w:jc w:val="both"/>
      </w:pPr>
      <w:r w:rsidRPr="005C7A1A">
        <w:t>str. 73, r. 1867, 1868</w:t>
      </w:r>
    </w:p>
    <w:p w:rsidR="00635C78" w:rsidRPr="005C7A1A" w:rsidRDefault="00635C78" w:rsidP="00540A22">
      <w:pPr>
        <w:pStyle w:val="Default"/>
        <w:jc w:val="both"/>
      </w:pPr>
      <w:r>
        <w:t>„</w:t>
      </w:r>
      <w:r w:rsidRPr="005C7A1A">
        <w:t>Nekim politikama i instrumentima na EU i nacionalnoj razini već su osigurani alati i poticaji</w:t>
      </w:r>
      <w:r>
        <w:t xml:space="preserve"> u skladu s</w:t>
      </w:r>
      <w:r w:rsidRPr="005C7A1A">
        <w:t xml:space="preserve"> modelom kruž</w:t>
      </w:r>
      <w:r>
        <w:t>noga gospodarstva.“</w:t>
      </w:r>
    </w:p>
    <w:p w:rsidR="00635C78" w:rsidRPr="005C7A1A" w:rsidRDefault="00635C78" w:rsidP="00540A22">
      <w:pPr>
        <w:pStyle w:val="Default"/>
        <w:jc w:val="both"/>
      </w:pPr>
    </w:p>
    <w:p w:rsidR="00635C78" w:rsidRDefault="00635C78" w:rsidP="00540A22">
      <w:pPr>
        <w:pStyle w:val="Default"/>
        <w:jc w:val="both"/>
      </w:pPr>
      <w:r w:rsidRPr="00FF4E24">
        <w:rPr>
          <w:b/>
        </w:rPr>
        <w:t>KOMENTAR I PREPORUKA</w:t>
      </w:r>
    </w:p>
    <w:p w:rsidR="00EC1C93" w:rsidRPr="005C7A1A" w:rsidRDefault="00635C78" w:rsidP="00540A22">
      <w:pPr>
        <w:pStyle w:val="Default"/>
        <w:jc w:val="both"/>
      </w:pPr>
      <w:r w:rsidRPr="005C7A1A">
        <w:t>Pri</w:t>
      </w:r>
      <w:r>
        <w:t>k</w:t>
      </w:r>
      <w:r w:rsidRPr="005C7A1A">
        <w:t>azuje se dijagram cirkularne ekonomije i raspisuje poglavlje kao da je to nešto što se tek planira u dalekoj bu</w:t>
      </w:r>
      <w:r w:rsidR="00EC1C93">
        <w:t>dućnosti. Ne uzima se u obzir Rezolucija</w:t>
      </w:r>
      <w:r w:rsidR="00EC1C93" w:rsidRPr="005C7A1A">
        <w:t xml:space="preserve"> Europskog parlamenta od 10.07.2015.</w:t>
      </w:r>
      <w:r w:rsidR="00EC1C93">
        <w:t>,</w:t>
      </w:r>
      <w:r w:rsidR="00EC1C93" w:rsidRPr="005C7A1A">
        <w:t xml:space="preserve"> koja od Europske komisije traži </w:t>
      </w:r>
      <w:r w:rsidR="00EC1C93">
        <w:t>ukidanje</w:t>
      </w:r>
      <w:r w:rsidR="00EC1C93" w:rsidRPr="005C7A1A">
        <w:t xml:space="preserve"> financijskih potpora za spaljivanje i proces donošenja izmjena EU direktiva  na način da se ograniči spaljivanje otpada i traže još viši ciljevi odvojenog skupljanja i recikliranja (70%).</w:t>
      </w:r>
      <w:r w:rsidR="00EC1C93">
        <w:t xml:space="preserve"> O</w:t>
      </w:r>
      <w:r w:rsidRPr="005C7A1A">
        <w:t>vaj Plan to ignorira i postavlja sustav u potpuno suprotnom smjeru, a ovo se poglavlje ubacuje samo da se stvara privid da se po tome pitanju</w:t>
      </w:r>
      <w:r w:rsidR="00EC1C93">
        <w:t xml:space="preserve"> </w:t>
      </w:r>
      <w:r w:rsidRPr="005C7A1A">
        <w:t>planira nešto raditi, a predviđene financije dokazuju da je sve to samo lažni privid.</w:t>
      </w:r>
    </w:p>
    <w:p w:rsidR="00635C78" w:rsidRDefault="00635C78" w:rsidP="00540A22">
      <w:pPr>
        <w:pStyle w:val="Default"/>
        <w:jc w:val="both"/>
      </w:pPr>
    </w:p>
    <w:p w:rsidR="00635C78" w:rsidRPr="005C7A1A" w:rsidRDefault="00635C78" w:rsidP="00540A22">
      <w:pPr>
        <w:pStyle w:val="Default"/>
        <w:jc w:val="both"/>
      </w:pPr>
      <w:r w:rsidRPr="00635C78">
        <w:rPr>
          <w:b/>
          <w:u w:val="single"/>
        </w:rPr>
        <w:t>CITAT</w:t>
      </w:r>
    </w:p>
    <w:p w:rsidR="00635C78" w:rsidRPr="005C7A1A" w:rsidRDefault="00635C78" w:rsidP="00540A22">
      <w:pPr>
        <w:pStyle w:val="Default"/>
        <w:jc w:val="both"/>
      </w:pPr>
      <w:r w:rsidRPr="005C7A1A">
        <w:t>str. 74, r. 1882, 1883, 1884</w:t>
      </w:r>
    </w:p>
    <w:p w:rsidR="00635C78" w:rsidRPr="005C7A1A" w:rsidRDefault="00635C78" w:rsidP="00540A22">
      <w:pPr>
        <w:pStyle w:val="Default"/>
        <w:jc w:val="both"/>
      </w:pPr>
      <w:r>
        <w:t>„</w:t>
      </w:r>
      <w:r w:rsidRPr="005C7A1A">
        <w:t>Kako je RH svoje zakonodavstvo uskladila s pravnom stečevinom EU, tako je i prihvatila navedeni red prvenstva gospodarenja otpadom kroz odredbe Zakona o održivom</w:t>
      </w:r>
      <w:r>
        <w:t xml:space="preserve"> </w:t>
      </w:r>
      <w:r w:rsidRPr="005C7A1A">
        <w:t>gospodarenju otpadom.</w:t>
      </w:r>
      <w:r>
        <w:t>“</w:t>
      </w:r>
    </w:p>
    <w:p w:rsidR="00635C78" w:rsidRPr="005C7A1A" w:rsidRDefault="00635C78" w:rsidP="00540A22">
      <w:pPr>
        <w:pStyle w:val="Default"/>
        <w:jc w:val="both"/>
      </w:pPr>
    </w:p>
    <w:p w:rsidR="00635C78" w:rsidRPr="005C7A1A" w:rsidRDefault="00635C78" w:rsidP="00540A22">
      <w:pPr>
        <w:pStyle w:val="Default"/>
        <w:jc w:val="both"/>
      </w:pPr>
      <w:r w:rsidRPr="00FF4E24">
        <w:rPr>
          <w:b/>
        </w:rPr>
        <w:t>KOMENTAR I PREPORUKA</w:t>
      </w:r>
    </w:p>
    <w:p w:rsidR="00635C78" w:rsidRPr="005C7A1A" w:rsidRDefault="00635C78" w:rsidP="00540A22">
      <w:pPr>
        <w:pStyle w:val="Default"/>
        <w:jc w:val="both"/>
      </w:pPr>
      <w:r w:rsidRPr="005C7A1A">
        <w:t>RH je u Zakon</w:t>
      </w:r>
      <w:r>
        <w:t xml:space="preserve"> ugradila red prvenstva kojeg pro</w:t>
      </w:r>
      <w:r w:rsidRPr="005C7A1A">
        <w:t>pisuje Direk</w:t>
      </w:r>
      <w:r>
        <w:t>tiva o otpadu, ali se tog reda p</w:t>
      </w:r>
      <w:r w:rsidRPr="005C7A1A">
        <w:t xml:space="preserve">rvenstva ne pridržava u praksi, što </w:t>
      </w:r>
      <w:r>
        <w:t>je vidljivo</w:t>
      </w:r>
      <w:r w:rsidRPr="005C7A1A">
        <w:t xml:space="preserve"> i iz ovog Plana gospodarenja</w:t>
      </w:r>
      <w:r>
        <w:t xml:space="preserve"> </w:t>
      </w:r>
      <w:r w:rsidRPr="005C7A1A">
        <w:t xml:space="preserve">otpadom. </w:t>
      </w:r>
      <w:r>
        <w:t>O</w:t>
      </w:r>
      <w:r w:rsidRPr="005C7A1A">
        <w:t xml:space="preserve">va poglavlja </w:t>
      </w:r>
      <w:r>
        <w:t xml:space="preserve">(pod točkom 6.) </w:t>
      </w:r>
      <w:r w:rsidRPr="005C7A1A">
        <w:t>služe samo stvaranju privida da se nešto po tom pitanju radi ili planira raditi</w:t>
      </w:r>
      <w:r w:rsidR="00EC1C93">
        <w:t>,</w:t>
      </w:r>
      <w:r w:rsidRPr="005C7A1A">
        <w:t xml:space="preserve"> a zapravo je realnost puno dru</w:t>
      </w:r>
      <w:r>
        <w:t>kčija</w:t>
      </w:r>
      <w:r w:rsidR="00EC1C93">
        <w:t>, što se vidi i iz predviđenih financija</w:t>
      </w:r>
      <w:r w:rsidRPr="005C7A1A">
        <w:t>.</w:t>
      </w:r>
    </w:p>
    <w:p w:rsidR="00635C78" w:rsidRPr="005C7A1A" w:rsidRDefault="00635C78" w:rsidP="00540A22">
      <w:pPr>
        <w:pStyle w:val="Default"/>
        <w:jc w:val="both"/>
      </w:pPr>
    </w:p>
    <w:p w:rsidR="00635C78" w:rsidRDefault="00635C78" w:rsidP="00540A22">
      <w:pPr>
        <w:pStyle w:val="Default"/>
        <w:jc w:val="both"/>
      </w:pPr>
      <w:r w:rsidRPr="00635C78">
        <w:rPr>
          <w:b/>
          <w:u w:val="single"/>
        </w:rPr>
        <w:t>CITAT</w:t>
      </w:r>
    </w:p>
    <w:p w:rsidR="00635C78" w:rsidRDefault="00635C78" w:rsidP="00540A22">
      <w:pPr>
        <w:pStyle w:val="Default"/>
        <w:jc w:val="both"/>
      </w:pPr>
      <w:r w:rsidRPr="005C7A1A">
        <w:t>str. 74, r. 1897</w:t>
      </w:r>
    </w:p>
    <w:p w:rsidR="00635C78" w:rsidRPr="005C7A1A" w:rsidRDefault="00635C78" w:rsidP="00540A22">
      <w:pPr>
        <w:pStyle w:val="Default"/>
        <w:jc w:val="both"/>
      </w:pPr>
      <w:r>
        <w:t>„</w:t>
      </w:r>
      <w:r w:rsidRPr="005C7A1A">
        <w:t>Republika Hrvatska do sada nije imala obvezu pripreme Plana sprječavanja nastanka otpada</w:t>
      </w:r>
      <w:r>
        <w:t>…“</w:t>
      </w:r>
    </w:p>
    <w:p w:rsidR="00635C78" w:rsidRPr="005C7A1A" w:rsidRDefault="00635C78" w:rsidP="00540A22">
      <w:pPr>
        <w:pStyle w:val="Default"/>
        <w:jc w:val="both"/>
      </w:pPr>
    </w:p>
    <w:p w:rsidR="00635C78" w:rsidRDefault="00635C78" w:rsidP="00540A22">
      <w:pPr>
        <w:pStyle w:val="Default"/>
        <w:jc w:val="both"/>
      </w:pPr>
      <w:r w:rsidRPr="00FF4E24">
        <w:rPr>
          <w:b/>
        </w:rPr>
        <w:t>KOMENTAR I PREPORUKA</w:t>
      </w:r>
    </w:p>
    <w:p w:rsidR="00635C78" w:rsidRPr="005C7A1A" w:rsidRDefault="00635C78" w:rsidP="00540A22">
      <w:pPr>
        <w:pStyle w:val="Default"/>
        <w:jc w:val="both"/>
      </w:pPr>
      <w:r w:rsidRPr="005C7A1A">
        <w:t>Direktiva o otpadu i Zakon još iz 2005. propisuje da je potre</w:t>
      </w:r>
      <w:r>
        <w:t>bno poštovati hijerarhiju gospo</w:t>
      </w:r>
      <w:r w:rsidRPr="005C7A1A">
        <w:t>darenja otpadom</w:t>
      </w:r>
      <w:r>
        <w:t>, a prema toj hijerarhiji sprječavanje (prevencija) nastanka otpada je na prvome mjestu</w:t>
      </w:r>
      <w:r w:rsidRPr="005C7A1A">
        <w:t xml:space="preserve">. Dakle, prioritetno </w:t>
      </w:r>
      <w:r>
        <w:t xml:space="preserve">je </w:t>
      </w:r>
      <w:r w:rsidRPr="005C7A1A">
        <w:t>napraviti plan kojim se razrađuje sprečavanje nastanak otpada. To treba biti temelj svakog Plana</w:t>
      </w:r>
      <w:r>
        <w:t xml:space="preserve"> gospodarenja otpadom</w:t>
      </w:r>
      <w:r w:rsidRPr="005C7A1A">
        <w:t>.</w:t>
      </w:r>
    </w:p>
    <w:p w:rsidR="00635C78" w:rsidRDefault="00635C78" w:rsidP="00540A22">
      <w:pPr>
        <w:pStyle w:val="Default"/>
        <w:jc w:val="both"/>
      </w:pPr>
    </w:p>
    <w:p w:rsidR="00635C78" w:rsidRPr="005C7A1A" w:rsidRDefault="00635C78" w:rsidP="00540A22">
      <w:pPr>
        <w:pStyle w:val="Default"/>
        <w:jc w:val="both"/>
      </w:pPr>
      <w:r w:rsidRPr="00635C78">
        <w:rPr>
          <w:b/>
          <w:u w:val="single"/>
        </w:rPr>
        <w:lastRenderedPageBreak/>
        <w:t>CITAT</w:t>
      </w:r>
    </w:p>
    <w:p w:rsidR="00635C78" w:rsidRPr="005C7A1A" w:rsidRDefault="00635C78" w:rsidP="00540A22">
      <w:pPr>
        <w:pStyle w:val="Default"/>
        <w:jc w:val="both"/>
      </w:pPr>
      <w:r w:rsidRPr="005C7A1A">
        <w:t>str. 75, r. 1922, 1923</w:t>
      </w:r>
    </w:p>
    <w:p w:rsidR="00635C78" w:rsidRDefault="00635C78" w:rsidP="00540A22">
      <w:pPr>
        <w:pStyle w:val="Default"/>
        <w:jc w:val="both"/>
      </w:pPr>
      <w:r>
        <w:t>„</w:t>
      </w:r>
      <w:r w:rsidRPr="005C7A1A">
        <w:t>Zakonodavno-regulatornim okvirom vezanim za gospodarenje otpadom u RH nastoji se uspostaviti kvalitetniji sustav gospodarenja otpadom temeljen na sprječavanju nastanka otpada i uspostavi  učinkovitog sustava odvojenog sakupljanja otpada koji se odgovarajuće oporabljuje.</w:t>
      </w:r>
      <w:r>
        <w:t>“</w:t>
      </w:r>
    </w:p>
    <w:p w:rsidR="00635C78" w:rsidRPr="005C7A1A" w:rsidRDefault="00635C78" w:rsidP="00540A22">
      <w:pPr>
        <w:pStyle w:val="Default"/>
        <w:jc w:val="both"/>
      </w:pPr>
    </w:p>
    <w:p w:rsidR="00635C78" w:rsidRPr="005C7A1A" w:rsidRDefault="00635C78" w:rsidP="00540A22">
      <w:pPr>
        <w:pStyle w:val="Default"/>
        <w:jc w:val="both"/>
      </w:pPr>
      <w:r w:rsidRPr="00FF4E24">
        <w:rPr>
          <w:b/>
        </w:rPr>
        <w:t>KOMENTAR I PREPORUKA</w:t>
      </w:r>
    </w:p>
    <w:p w:rsidR="00635C78" w:rsidRPr="005C7A1A" w:rsidRDefault="00635C78" w:rsidP="00540A22">
      <w:pPr>
        <w:pStyle w:val="Default"/>
        <w:jc w:val="both"/>
      </w:pPr>
      <w:r>
        <w:t>U</w:t>
      </w:r>
      <w:r w:rsidRPr="005C7A1A">
        <w:t xml:space="preserve"> praksi se ne po</w:t>
      </w:r>
      <w:r>
        <w:t>tiču mjere koje bi to sustavno</w:t>
      </w:r>
      <w:r w:rsidRPr="005C7A1A">
        <w:t xml:space="preserve"> provodile.</w:t>
      </w:r>
      <w:r>
        <w:t xml:space="preserve"> I u ovom Planu se sprječavanje nastanka otpada i uspostava </w:t>
      </w:r>
      <w:r w:rsidRPr="005C7A1A">
        <w:t>učinkovitog sustava odvojenog sakupljanja otpada</w:t>
      </w:r>
      <w:r>
        <w:t xml:space="preserve"> samo navode kao nešto što se nastoji postići, dok sve praktične mjere vode u potpuno drugom smjeru.</w:t>
      </w:r>
    </w:p>
    <w:p w:rsidR="00635C78" w:rsidRDefault="00635C78" w:rsidP="00540A22">
      <w:pPr>
        <w:pStyle w:val="Default"/>
        <w:jc w:val="both"/>
      </w:pPr>
    </w:p>
    <w:p w:rsidR="00635C78" w:rsidRPr="005C7A1A" w:rsidRDefault="00635C78" w:rsidP="00540A22">
      <w:pPr>
        <w:pStyle w:val="Default"/>
        <w:jc w:val="both"/>
      </w:pPr>
      <w:r w:rsidRPr="00635C78">
        <w:rPr>
          <w:b/>
          <w:u w:val="single"/>
        </w:rPr>
        <w:t>CITAT</w:t>
      </w:r>
    </w:p>
    <w:p w:rsidR="00635C78" w:rsidRPr="005C7A1A" w:rsidRDefault="00635C78" w:rsidP="00540A22">
      <w:pPr>
        <w:pStyle w:val="Default"/>
        <w:jc w:val="both"/>
      </w:pPr>
      <w:r w:rsidRPr="005C7A1A">
        <w:t>poglavlje 6.4 Mjere sprječavanja nastanka otpada</w:t>
      </w:r>
    </w:p>
    <w:p w:rsidR="00635C78" w:rsidRPr="005C7A1A" w:rsidRDefault="00635C78" w:rsidP="00540A22">
      <w:pPr>
        <w:pStyle w:val="Default"/>
        <w:jc w:val="both"/>
      </w:pPr>
    </w:p>
    <w:p w:rsidR="00635C78" w:rsidRPr="005C7A1A" w:rsidRDefault="00635C78" w:rsidP="00540A22">
      <w:pPr>
        <w:pStyle w:val="Default"/>
        <w:jc w:val="both"/>
      </w:pPr>
      <w:r w:rsidRPr="00FF4E24">
        <w:rPr>
          <w:b/>
        </w:rPr>
        <w:t>KOMENTAR I PREPORUKA</w:t>
      </w:r>
    </w:p>
    <w:p w:rsidR="00635C78" w:rsidRDefault="00635C78" w:rsidP="00540A22">
      <w:pPr>
        <w:pStyle w:val="Default"/>
        <w:jc w:val="both"/>
      </w:pPr>
      <w:r w:rsidRPr="005C7A1A">
        <w:t>Za provođenje navedenih mjera</w:t>
      </w:r>
      <w:r>
        <w:t xml:space="preserve"> se ovim prijedlogom Plana</w:t>
      </w:r>
      <w:r w:rsidRPr="005C7A1A">
        <w:t xml:space="preserve"> ne predviđaju dostatna sredstva</w:t>
      </w:r>
      <w:r>
        <w:t xml:space="preserve">, </w:t>
      </w:r>
      <w:r w:rsidRPr="005C7A1A">
        <w:t xml:space="preserve">što ukazuje </w:t>
      </w:r>
      <w:r>
        <w:t>na to da će vjerojatno</w:t>
      </w:r>
      <w:r w:rsidRPr="005C7A1A">
        <w:t xml:space="preserve"> ostati mrtvo slovo na papiru. Također</w:t>
      </w:r>
      <w:r>
        <w:t>,</w:t>
      </w:r>
      <w:r w:rsidRPr="005C7A1A">
        <w:t xml:space="preserve"> nedostaje </w:t>
      </w:r>
      <w:r>
        <w:t xml:space="preserve">i </w:t>
      </w:r>
      <w:r w:rsidRPr="005C7A1A">
        <w:t xml:space="preserve">niz drugih </w:t>
      </w:r>
      <w:r>
        <w:t xml:space="preserve">mogućih </w:t>
      </w:r>
      <w:r w:rsidRPr="005C7A1A">
        <w:t xml:space="preserve">mjera </w:t>
      </w:r>
      <w:r>
        <w:t xml:space="preserve">kojima </w:t>
      </w:r>
      <w:r w:rsidR="00EC1C93">
        <w:t xml:space="preserve">bi se spriječio nastanak otpada. Primjerice, nedostaju mjere </w:t>
      </w:r>
      <w:r>
        <w:t xml:space="preserve"> </w:t>
      </w:r>
      <w:r w:rsidR="00EC1C93">
        <w:t>za znatno smanjenje godišnje potrošnje nerazgradivih vrećica</w:t>
      </w:r>
      <w:r w:rsidR="00EC1C93" w:rsidRPr="005C7A1A">
        <w:t xml:space="preserve"> </w:t>
      </w:r>
      <w:r w:rsidR="00EC1C93">
        <w:t>(</w:t>
      </w:r>
      <w:r w:rsidRPr="005C7A1A">
        <w:t xml:space="preserve">poput </w:t>
      </w:r>
      <w:r w:rsidR="00EC1C93">
        <w:t xml:space="preserve">uvođenja </w:t>
      </w:r>
      <w:r>
        <w:t>poreza na plastične vrećice</w:t>
      </w:r>
      <w:r w:rsidR="00EC1C93">
        <w:t>) koje je u svibnju ove godine zatražio Europski parlament izglasavanjem izmjena Direktive o ambalaži i ambalažnom otpadu kojima se države članice, pa time i Hrvatska, obvezuju na provođenje</w:t>
      </w:r>
      <w:r w:rsidR="00F23321">
        <w:t xml:space="preserve"> tih</w:t>
      </w:r>
      <w:r w:rsidR="00EC1C93">
        <w:t xml:space="preserve"> mjera</w:t>
      </w:r>
      <w:r w:rsidR="00F23321">
        <w:t>. Nedostaju i brojne druge mjere u Planu sprečavanja nastanka otpada, ali već ovaj primjer je dovoljan da se vide manjkavosti.</w:t>
      </w:r>
    </w:p>
    <w:p w:rsidR="00F23321" w:rsidRPr="005C7A1A" w:rsidRDefault="00F23321" w:rsidP="00540A22">
      <w:pPr>
        <w:pStyle w:val="Default"/>
        <w:jc w:val="both"/>
      </w:pPr>
    </w:p>
    <w:p w:rsidR="00635C78" w:rsidRPr="005C7A1A" w:rsidRDefault="00635C78" w:rsidP="00540A22">
      <w:pPr>
        <w:pStyle w:val="Default"/>
        <w:jc w:val="both"/>
      </w:pPr>
      <w:r w:rsidRPr="00635C78">
        <w:rPr>
          <w:b/>
          <w:u w:val="single"/>
        </w:rPr>
        <w:t>CITAT</w:t>
      </w:r>
    </w:p>
    <w:p w:rsidR="00635C78" w:rsidRPr="005C7A1A" w:rsidRDefault="00635C78" w:rsidP="00540A22">
      <w:pPr>
        <w:pStyle w:val="Default"/>
        <w:jc w:val="both"/>
      </w:pPr>
      <w:r w:rsidRPr="005C7A1A">
        <w:t>str.</w:t>
      </w:r>
      <w:r>
        <w:t xml:space="preserve"> </w:t>
      </w:r>
      <w:r w:rsidRPr="005C7A1A">
        <w:t>87, r.</w:t>
      </w:r>
      <w:r>
        <w:t xml:space="preserve"> </w:t>
      </w:r>
      <w:r w:rsidRPr="005C7A1A">
        <w:t>2279, 2280, 2281</w:t>
      </w:r>
    </w:p>
    <w:p w:rsidR="00635C78" w:rsidRDefault="00635C78" w:rsidP="00540A22">
      <w:pPr>
        <w:pStyle w:val="Default"/>
        <w:jc w:val="both"/>
      </w:pPr>
      <w:r>
        <w:t>„</w:t>
      </w:r>
      <w:r w:rsidRPr="005C7A1A">
        <w:t>Procjena je uzela u obzir gradnju postrojenja za zbrinjavanje otpada, građevina za mehaničko-biološku i energetsku oporabu otpada.</w:t>
      </w:r>
      <w:r>
        <w:t>“</w:t>
      </w:r>
    </w:p>
    <w:p w:rsidR="00635C78" w:rsidRPr="005C7A1A" w:rsidRDefault="00635C78" w:rsidP="00540A22">
      <w:pPr>
        <w:pStyle w:val="Default"/>
        <w:jc w:val="both"/>
      </w:pPr>
    </w:p>
    <w:p w:rsidR="00635C78" w:rsidRPr="005C7A1A" w:rsidRDefault="00635C78" w:rsidP="00540A22">
      <w:pPr>
        <w:pStyle w:val="Default"/>
        <w:jc w:val="both"/>
      </w:pPr>
      <w:r w:rsidRPr="00FF4E24">
        <w:rPr>
          <w:b/>
        </w:rPr>
        <w:t>KOMENTAR I PREPORUKA</w:t>
      </w:r>
    </w:p>
    <w:p w:rsidR="00635C78" w:rsidRPr="005C7A1A" w:rsidRDefault="00635C78" w:rsidP="00540A22">
      <w:pPr>
        <w:pStyle w:val="Default"/>
        <w:jc w:val="both"/>
      </w:pPr>
      <w:r>
        <w:t>Nedostaju podaci o tome ko</w:t>
      </w:r>
      <w:r w:rsidRPr="005C7A1A">
        <w:t>liko</w:t>
      </w:r>
      <w:r>
        <w:t xml:space="preserve"> košta održavanje</w:t>
      </w:r>
      <w:r w:rsidRPr="005C7A1A">
        <w:t xml:space="preserve"> postrojenja za energetsku oporabu</w:t>
      </w:r>
      <w:r>
        <w:t>, koje su cijene</w:t>
      </w:r>
      <w:r w:rsidRPr="005C7A1A">
        <w:t xml:space="preserve"> prijevoza do cementara, </w:t>
      </w:r>
      <w:r>
        <w:t>njihovog održavanja, ugradnje filtera, izvoza opasnog otpada itd. Dakle, sustav je zacrtan samo kako bi se uporno proguralo spaljivanje, bez analize financijskih i ostalih rizika koje on donosi.</w:t>
      </w:r>
    </w:p>
    <w:p w:rsidR="00635C78" w:rsidRPr="005C7A1A" w:rsidRDefault="00635C78" w:rsidP="00540A22">
      <w:pPr>
        <w:pStyle w:val="Default"/>
        <w:jc w:val="both"/>
      </w:pPr>
    </w:p>
    <w:p w:rsidR="00635C78" w:rsidRPr="005C7A1A" w:rsidRDefault="00635C78" w:rsidP="00540A22">
      <w:pPr>
        <w:pStyle w:val="Default"/>
        <w:jc w:val="both"/>
      </w:pPr>
      <w:r w:rsidRPr="00635C78">
        <w:rPr>
          <w:b/>
          <w:u w:val="single"/>
        </w:rPr>
        <w:t>CITAT</w:t>
      </w:r>
    </w:p>
    <w:p w:rsidR="00635C78" w:rsidRPr="005C7A1A" w:rsidRDefault="00635C78" w:rsidP="00540A22">
      <w:pPr>
        <w:pStyle w:val="Default"/>
        <w:jc w:val="both"/>
      </w:pPr>
      <w:r w:rsidRPr="005C7A1A">
        <w:t>str. 87, r. 2288</w:t>
      </w:r>
    </w:p>
    <w:p w:rsidR="00635C78" w:rsidRPr="005C7A1A" w:rsidRDefault="00635C78" w:rsidP="00540A22">
      <w:pPr>
        <w:pStyle w:val="Default"/>
        <w:jc w:val="both"/>
      </w:pPr>
      <w:r>
        <w:t>„…</w:t>
      </w:r>
      <w:r w:rsidRPr="005C7A1A">
        <w:t>te mjere provedbe plana sprječavanja nastanka otpada 2288 9,8 mil. HRK.</w:t>
      </w:r>
      <w:r>
        <w:t>“</w:t>
      </w:r>
    </w:p>
    <w:p w:rsidR="00635C78" w:rsidRPr="005C7A1A" w:rsidRDefault="00635C78" w:rsidP="00540A22">
      <w:pPr>
        <w:pStyle w:val="Default"/>
        <w:jc w:val="both"/>
      </w:pPr>
    </w:p>
    <w:p w:rsidR="00635C78" w:rsidRDefault="00635C78" w:rsidP="00540A22">
      <w:pPr>
        <w:pStyle w:val="Default"/>
        <w:jc w:val="both"/>
      </w:pPr>
      <w:r w:rsidRPr="00FF4E24">
        <w:rPr>
          <w:b/>
        </w:rPr>
        <w:t>KOMENTAR I PREPORUKA</w:t>
      </w:r>
    </w:p>
    <w:p w:rsidR="00635C78" w:rsidRDefault="00635C78" w:rsidP="00540A22">
      <w:pPr>
        <w:pStyle w:val="Default"/>
        <w:jc w:val="both"/>
      </w:pPr>
      <w:r w:rsidRPr="005C7A1A">
        <w:t xml:space="preserve">Jasan znak da se po </w:t>
      </w:r>
      <w:r>
        <w:t>pitanju sprečavanja nastanka otpada</w:t>
      </w:r>
      <w:r w:rsidRPr="005C7A1A">
        <w:t xml:space="preserve"> malo planira raditi </w:t>
      </w:r>
      <w:r>
        <w:t>je podatak o količini sredstava koja se planiraju utrošiti na provedbu mjera, koja su preniska za postizanje utvrđenih ciljeva.</w:t>
      </w:r>
    </w:p>
    <w:p w:rsidR="00635C78" w:rsidRDefault="00635C78" w:rsidP="00540A22">
      <w:pPr>
        <w:pStyle w:val="Default"/>
        <w:jc w:val="both"/>
      </w:pPr>
    </w:p>
    <w:p w:rsidR="00635C78" w:rsidRPr="005C7A1A" w:rsidRDefault="00635C78" w:rsidP="00540A22">
      <w:pPr>
        <w:pStyle w:val="Default"/>
        <w:jc w:val="both"/>
      </w:pPr>
    </w:p>
    <w:p w:rsidR="00635C78" w:rsidRPr="005C7A1A" w:rsidRDefault="00635C78" w:rsidP="00540A22">
      <w:pPr>
        <w:pStyle w:val="Default"/>
        <w:jc w:val="both"/>
      </w:pPr>
      <w:r w:rsidRPr="00635C78">
        <w:rPr>
          <w:b/>
          <w:u w:val="single"/>
        </w:rPr>
        <w:t>CITAT</w:t>
      </w:r>
    </w:p>
    <w:p w:rsidR="00635C78" w:rsidRPr="00FF4E24" w:rsidRDefault="00635C78" w:rsidP="00540A22">
      <w:pPr>
        <w:pStyle w:val="Default"/>
        <w:jc w:val="both"/>
      </w:pPr>
      <w:r>
        <w:t>str. 89, r. 2300-2308</w:t>
      </w:r>
    </w:p>
    <w:p w:rsidR="00635C78" w:rsidRPr="00FF4E24" w:rsidRDefault="00635C78" w:rsidP="00540A22">
      <w:pPr>
        <w:pStyle w:val="Default"/>
        <w:jc w:val="both"/>
      </w:pPr>
      <w:r w:rsidRPr="00FF4E24">
        <w:t xml:space="preserve">„Procijenjeno je da sredstva potrebna za početna i ponovna ulaganja u gospodarenje otpadom u RH za razdoblje od 2015. do 2021 godine iznose 22 mlrd. HRK, odnosno 2,8 mlrd. EUR (1 </w:t>
      </w:r>
      <w:r w:rsidRPr="00FF4E24">
        <w:lastRenderedPageBreak/>
        <w:t>EUR = 7,75 HRK). Kao glavni izvori financiranja identificirani su javni i privatni izvori. Javni izvori financiranja u sebi uključuju: EU fondove (kohezijski i Europski fond za regionalni razvoj - EFRR) – kao dominantni izvor financiranja; proračune JLS jedinica lokalne samouprave i JRS-a te sredstava komunalnih društava (u vlasništvu jedinica lokalne samouprave); FZOEU; kredite razvojnih banaka (Svjetska banka, Europska banka za razvoj, Europska investicijska banka, itd.) i Državni proračun. Javnim sredstvima financira se gradnja komunalne infrastrukture (pristupni putevi, opskrba vodom, odvodnja, električna energija ) do budućeg CGO-a.”</w:t>
      </w:r>
    </w:p>
    <w:p w:rsidR="00635C78" w:rsidRDefault="00635C78" w:rsidP="00540A22">
      <w:pPr>
        <w:pStyle w:val="Default"/>
        <w:jc w:val="both"/>
      </w:pPr>
    </w:p>
    <w:p w:rsidR="00635C78" w:rsidRDefault="00635C78" w:rsidP="00540A22">
      <w:pPr>
        <w:pStyle w:val="Default"/>
        <w:jc w:val="both"/>
      </w:pPr>
    </w:p>
    <w:p w:rsidR="00635C78" w:rsidRDefault="00635C78" w:rsidP="00540A22">
      <w:pPr>
        <w:pStyle w:val="Default"/>
        <w:jc w:val="both"/>
      </w:pPr>
      <w:r w:rsidRPr="00FF4E24">
        <w:rPr>
          <w:b/>
        </w:rPr>
        <w:t>KOMENTAR I PREPORUKA</w:t>
      </w:r>
    </w:p>
    <w:p w:rsidR="00635C78" w:rsidRPr="00262AFA" w:rsidRDefault="00635C78" w:rsidP="00540A22">
      <w:pPr>
        <w:autoSpaceDE w:val="0"/>
        <w:autoSpaceDN w:val="0"/>
        <w:adjustRightInd w:val="0"/>
        <w:jc w:val="both"/>
        <w:rPr>
          <w:b/>
          <w:bCs/>
          <w:color w:val="000000"/>
          <w:lang w:eastAsia="hr-HR"/>
        </w:rPr>
      </w:pPr>
      <w:r w:rsidRPr="00262AFA">
        <w:rPr>
          <w:color w:val="000000"/>
          <w:lang w:eastAsia="hr-HR"/>
        </w:rPr>
        <w:t>Strukturni fondovi EU posloženi su tako da poštuju hijerarhiju gospodarenja otpadom, izdvajaju najviše sredstava za reciklažu te je iz njih gotovo nemoguće ishoditi sredstva za spaljivanje otpada na kojem se temelji ovaj Plan i za što se predviđa najviše sredstava, pogotovo u postojećoj situaciji u kojoj je u RH prioritet povećanje stope recikliranja kako bi se ispunili ciljevi iz EU direktiva i u situaciji kad je EU u procesu donošenja novih Direktiva koje će prropisati da se više neće financirati spaljivanje otpada. To nije uzeto u obzir pri</w:t>
      </w:r>
      <w:r w:rsidR="00F23321">
        <w:rPr>
          <w:color w:val="000000"/>
          <w:lang w:eastAsia="hr-HR"/>
        </w:rPr>
        <w:t xml:space="preserve">likom izrade ovog Plana što </w:t>
      </w:r>
      <w:proofErr w:type="gramStart"/>
      <w:r w:rsidR="00F23321">
        <w:rPr>
          <w:color w:val="000000"/>
          <w:lang w:eastAsia="hr-HR"/>
        </w:rPr>
        <w:t xml:space="preserve">je </w:t>
      </w:r>
      <w:r w:rsidRPr="00262AFA">
        <w:rPr>
          <w:color w:val="000000"/>
          <w:lang w:eastAsia="hr-HR"/>
        </w:rPr>
        <w:t xml:space="preserve"> velik</w:t>
      </w:r>
      <w:r w:rsidR="00F23321">
        <w:rPr>
          <w:color w:val="000000"/>
          <w:lang w:eastAsia="hr-HR"/>
        </w:rPr>
        <w:t>a</w:t>
      </w:r>
      <w:proofErr w:type="gramEnd"/>
      <w:r w:rsidR="00F23321">
        <w:rPr>
          <w:color w:val="000000"/>
          <w:lang w:eastAsia="hr-HR"/>
        </w:rPr>
        <w:t xml:space="preserve"> greška s obzirom da su za to </w:t>
      </w:r>
      <w:r w:rsidRPr="00262AFA">
        <w:rPr>
          <w:color w:val="000000"/>
          <w:lang w:eastAsia="hr-HR"/>
        </w:rPr>
        <w:t>p</w:t>
      </w:r>
      <w:r w:rsidR="00F23321">
        <w:rPr>
          <w:color w:val="000000"/>
          <w:lang w:eastAsia="hr-HR"/>
        </w:rPr>
        <w:t>r</w:t>
      </w:r>
      <w:r w:rsidRPr="00262AFA">
        <w:rPr>
          <w:color w:val="000000"/>
          <w:lang w:eastAsia="hr-HR"/>
        </w:rPr>
        <w:t xml:space="preserve">edviđena najveća ulaganja. </w:t>
      </w:r>
    </w:p>
    <w:p w:rsidR="00635C78" w:rsidRPr="00262AFA" w:rsidRDefault="00635C78" w:rsidP="00540A22">
      <w:pPr>
        <w:autoSpaceDE w:val="0"/>
        <w:autoSpaceDN w:val="0"/>
        <w:adjustRightInd w:val="0"/>
        <w:jc w:val="both"/>
        <w:rPr>
          <w:color w:val="000000"/>
          <w:lang w:eastAsia="hr-HR"/>
        </w:rPr>
      </w:pPr>
      <w:r w:rsidRPr="00262AFA">
        <w:rPr>
          <w:color w:val="000000"/>
          <w:lang w:eastAsia="hr-HR"/>
        </w:rPr>
        <w:t xml:space="preserve">Financijsku konstrukciju potrebno je razraditi u detalje </w:t>
      </w:r>
      <w:proofErr w:type="gramStart"/>
      <w:r w:rsidRPr="00262AFA">
        <w:rPr>
          <w:color w:val="000000"/>
          <w:lang w:eastAsia="hr-HR"/>
        </w:rPr>
        <w:t>na</w:t>
      </w:r>
      <w:proofErr w:type="gramEnd"/>
      <w:r w:rsidRPr="00262AFA">
        <w:rPr>
          <w:color w:val="000000"/>
          <w:lang w:eastAsia="hr-HR"/>
        </w:rPr>
        <w:t xml:space="preserve"> način da se jasno odredi koliko se sredstava planira dobiti iz EU fondova i kojih, te kolika je sigurnost da se ta sredstva uistinu dobiju jer inače cijeli koncept pada u vodu. Isto tako potrebno je razjasniti koliko se sredstava planira uprihodovati plaćanjem komunalne naknade </w:t>
      </w:r>
      <w:proofErr w:type="gramStart"/>
      <w:r w:rsidRPr="00262AFA">
        <w:rPr>
          <w:color w:val="000000"/>
          <w:lang w:eastAsia="hr-HR"/>
        </w:rPr>
        <w:t>od</w:t>
      </w:r>
      <w:proofErr w:type="gramEnd"/>
      <w:r w:rsidRPr="00262AFA">
        <w:rPr>
          <w:color w:val="000000"/>
          <w:lang w:eastAsia="hr-HR"/>
        </w:rPr>
        <w:t xml:space="preserve"> strane građana, tj. </w:t>
      </w:r>
      <w:proofErr w:type="gramStart"/>
      <w:r w:rsidRPr="00262AFA">
        <w:rPr>
          <w:color w:val="000000"/>
          <w:lang w:eastAsia="hr-HR"/>
        </w:rPr>
        <w:t>definirati</w:t>
      </w:r>
      <w:proofErr w:type="gramEnd"/>
      <w:r w:rsidRPr="00262AFA">
        <w:rPr>
          <w:color w:val="000000"/>
          <w:lang w:eastAsia="hr-HR"/>
        </w:rPr>
        <w:t xml:space="preserve"> koliko će biti povećanje iste ukoliko bi došlo do uspostave ovakvog sustava gospodarenja otpadom. </w:t>
      </w:r>
    </w:p>
    <w:p w:rsidR="00635C78" w:rsidRPr="005C7A1A" w:rsidRDefault="00635C78" w:rsidP="00540A22">
      <w:pPr>
        <w:pStyle w:val="Default"/>
        <w:jc w:val="both"/>
      </w:pPr>
    </w:p>
    <w:p w:rsidR="00635C78" w:rsidRPr="005C7A1A" w:rsidRDefault="00635C78" w:rsidP="00540A22">
      <w:pPr>
        <w:pStyle w:val="Default"/>
        <w:jc w:val="both"/>
      </w:pPr>
    </w:p>
    <w:p w:rsidR="00635C78" w:rsidRPr="005C7A1A" w:rsidRDefault="00635C78" w:rsidP="00540A22">
      <w:pPr>
        <w:pStyle w:val="Default"/>
        <w:jc w:val="both"/>
      </w:pPr>
      <w:r w:rsidRPr="00635C78">
        <w:rPr>
          <w:b/>
          <w:u w:val="single"/>
        </w:rPr>
        <w:t>CITAT</w:t>
      </w:r>
    </w:p>
    <w:p w:rsidR="00635C78" w:rsidRPr="005C7A1A" w:rsidRDefault="00635C78" w:rsidP="00540A22">
      <w:pPr>
        <w:pStyle w:val="Default"/>
        <w:jc w:val="both"/>
      </w:pPr>
      <w:r>
        <w:t>str. 90, r. 2309, 2310, 2311</w:t>
      </w:r>
      <w:r w:rsidRPr="005C7A1A">
        <w:t xml:space="preserve"> </w:t>
      </w:r>
    </w:p>
    <w:p w:rsidR="00635C78" w:rsidRPr="005C7A1A" w:rsidRDefault="00635C78" w:rsidP="00540A22">
      <w:pPr>
        <w:pStyle w:val="Default"/>
        <w:jc w:val="both"/>
      </w:pPr>
      <w:r>
        <w:t>„</w:t>
      </w:r>
      <w:r w:rsidRPr="005C7A1A">
        <w:t xml:space="preserve">Privatni izvori kao manje dominantan, ali značajan izvor financiranja u sebi uključuju: privatna ulaganja u CGO-e (javno-privatno partnerstvo) te privatna ulaganja u primarno izdvajanje i </w:t>
      </w:r>
      <w:r w:rsidRPr="0066611F">
        <w:rPr>
          <w:i/>
        </w:rPr>
        <w:t>sakupljanje</w:t>
      </w:r>
      <w:r w:rsidRPr="005C7A1A">
        <w:t xml:space="preserve"> otpada –postrojenja za reciklažu i sakupljanje</w:t>
      </w:r>
      <w:r>
        <w:t>“</w:t>
      </w:r>
    </w:p>
    <w:p w:rsidR="00635C78" w:rsidRPr="005C7A1A" w:rsidRDefault="00635C78" w:rsidP="00540A22">
      <w:pPr>
        <w:pStyle w:val="Default"/>
        <w:jc w:val="both"/>
      </w:pPr>
    </w:p>
    <w:p w:rsidR="00635C78" w:rsidRDefault="00635C78" w:rsidP="00540A22">
      <w:pPr>
        <w:pStyle w:val="Default"/>
        <w:jc w:val="both"/>
      </w:pPr>
      <w:r w:rsidRPr="00FF4E24">
        <w:rPr>
          <w:b/>
        </w:rPr>
        <w:t>KOMENTAR I PREPORUKA</w:t>
      </w:r>
    </w:p>
    <w:p w:rsidR="00635C78" w:rsidRPr="00262AFA" w:rsidRDefault="00635C78" w:rsidP="00540A22">
      <w:pPr>
        <w:autoSpaceDE w:val="0"/>
        <w:autoSpaceDN w:val="0"/>
        <w:adjustRightInd w:val="0"/>
        <w:jc w:val="both"/>
        <w:rPr>
          <w:lang w:eastAsia="hr-HR"/>
        </w:rPr>
      </w:pPr>
      <w:r w:rsidRPr="00262AFA">
        <w:rPr>
          <w:color w:val="000000"/>
          <w:lang w:eastAsia="hr-HR"/>
        </w:rPr>
        <w:t xml:space="preserve">Privatni izvori srestava i javno privatna partnerstva su iznimno štetan model pružanja komunalnih usluga jer najčešće završavaju sniženjem kvalitete i poskupljenjem usluge tako da je bilo kakvo uključivanje privatnih izvora u formiranje sustava gospodarenja otpadom neprihvatljivo. </w:t>
      </w:r>
    </w:p>
    <w:p w:rsidR="00635C78" w:rsidRPr="005C7A1A" w:rsidRDefault="00635C78" w:rsidP="00540A22">
      <w:pPr>
        <w:pStyle w:val="Default"/>
        <w:jc w:val="both"/>
      </w:pPr>
    </w:p>
    <w:p w:rsidR="00635C78" w:rsidRDefault="00635C78" w:rsidP="00540A22">
      <w:pPr>
        <w:pStyle w:val="Default"/>
        <w:jc w:val="both"/>
      </w:pPr>
    </w:p>
    <w:p w:rsidR="00635C78" w:rsidRPr="005C7A1A" w:rsidRDefault="00635C78" w:rsidP="00540A22">
      <w:pPr>
        <w:pStyle w:val="Default"/>
        <w:jc w:val="both"/>
      </w:pPr>
      <w:r w:rsidRPr="00635C78">
        <w:rPr>
          <w:b/>
          <w:u w:val="single"/>
        </w:rPr>
        <w:t>CITAT</w:t>
      </w:r>
    </w:p>
    <w:p w:rsidR="00635C78" w:rsidRDefault="00635C78" w:rsidP="00540A22">
      <w:pPr>
        <w:pStyle w:val="Default"/>
        <w:jc w:val="both"/>
      </w:pPr>
      <w:r w:rsidRPr="005C7A1A">
        <w:t>str. 90, r. 2312-23</w:t>
      </w:r>
      <w:r>
        <w:t>18</w:t>
      </w:r>
    </w:p>
    <w:p w:rsidR="00635C78" w:rsidRPr="005C7A1A" w:rsidRDefault="00635C78" w:rsidP="00540A22">
      <w:pPr>
        <w:pStyle w:val="Default"/>
        <w:jc w:val="both"/>
      </w:pPr>
      <w:r>
        <w:t>„</w:t>
      </w:r>
      <w:r w:rsidRPr="005C7A1A">
        <w:t>Do sada je iz javnih izvora osigurano 11,3 mlrd. HRK. Od toga najveći dio sredstava odnosi se na neto izvore iz FZOEU (višak sredstava preostao nakon isplate operativnih troškova i troškova projekta energetske učinkovitosti – 7 mlrd. HRK), sredstava iz kohezijskih fondova: za zaštitu okoliša (4,8 mlrd. 2314 HRK) i za prilagodbu na klima</w:t>
      </w:r>
      <w:r>
        <w:t>tske promjene (235,6 mil. HRK).</w:t>
      </w:r>
      <w:r w:rsidRPr="005C7A1A">
        <w:t xml:space="preserve"> </w:t>
      </w:r>
    </w:p>
    <w:p w:rsidR="00635C78" w:rsidRPr="005C7A1A" w:rsidRDefault="00635C78" w:rsidP="00540A22">
      <w:pPr>
        <w:pStyle w:val="Default"/>
        <w:jc w:val="both"/>
      </w:pPr>
      <w:r w:rsidRPr="005C7A1A">
        <w:t>Iz navedenog proizlazi da trenutni procijenjeni manjak (</w:t>
      </w:r>
      <w:r w:rsidRPr="005C7A1A">
        <w:rPr>
          <w:i/>
          <w:iCs/>
        </w:rPr>
        <w:t>gap</w:t>
      </w:r>
      <w:r w:rsidRPr="005C7A1A">
        <w:t xml:space="preserve">) u financiranju projekata obuhvaćenih ovom studijom iznosi 10,5 mlrd HRK. Navedeni manjak RH će morati financirati svojim sredstvima odnosno zajedno s </w:t>
      </w:r>
      <w:r>
        <w:t>privatnim partnerima i bankama.“</w:t>
      </w:r>
    </w:p>
    <w:p w:rsidR="00635C78" w:rsidRPr="0066611F" w:rsidRDefault="00635C78" w:rsidP="00540A22">
      <w:pPr>
        <w:pStyle w:val="Default"/>
        <w:jc w:val="both"/>
        <w:rPr>
          <w:iCs/>
        </w:rPr>
      </w:pPr>
    </w:p>
    <w:p w:rsidR="00635C78" w:rsidRPr="00635C78" w:rsidRDefault="00635C78" w:rsidP="00540A22">
      <w:pPr>
        <w:pStyle w:val="Default"/>
        <w:jc w:val="both"/>
        <w:rPr>
          <w:iCs/>
        </w:rPr>
      </w:pPr>
      <w:r w:rsidRPr="00FF4E24">
        <w:rPr>
          <w:b/>
          <w:iCs/>
        </w:rPr>
        <w:t>KOMENTAR I PREPORUKA</w:t>
      </w:r>
    </w:p>
    <w:p w:rsidR="00F92D35" w:rsidRPr="00F23321" w:rsidRDefault="00635C78" w:rsidP="00F23321">
      <w:pPr>
        <w:pStyle w:val="Default"/>
        <w:jc w:val="both"/>
      </w:pPr>
      <w:r w:rsidRPr="00FF4E24">
        <w:lastRenderedPageBreak/>
        <w:t xml:space="preserve">Iz navedenog je vidljivo da nedostaje gotovo polovina sredstava potrebnih za ostvarenje plana. S obzirom </w:t>
      </w:r>
      <w:r>
        <w:t>na</w:t>
      </w:r>
      <w:r w:rsidRPr="00FF4E24">
        <w:t xml:space="preserve"> to, i na upitno financiranje ostatka, jasno je da je takav sustav neodrživ, pogotovo jer u potrebne financije nisu uključeni ni kazneni penali koje će RH morati plaćati zbog neispunjenja ciljeva odvojenog skupljanja i recikliranja koje ovaj plan ignorira. Potrebno je navesti u kojoj mjeri će građani morati sudjelovati u pokrivanju manjka.</w:t>
      </w:r>
    </w:p>
    <w:sectPr w:rsidR="00F92D35" w:rsidRPr="00F23321" w:rsidSect="0009518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961" w:rsidRDefault="00190961" w:rsidP="00275FCC">
      <w:r>
        <w:separator/>
      </w:r>
    </w:p>
  </w:endnote>
  <w:endnote w:type="continuationSeparator" w:id="0">
    <w:p w:rsidR="00190961" w:rsidRDefault="00190961" w:rsidP="0027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altName w:val="Calibri Light"/>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64" w:rsidRPr="00275FCC" w:rsidRDefault="005C7C64" w:rsidP="00275FCC">
    <w:pPr>
      <w:pStyle w:val="Footer"/>
      <w:ind w:right="360"/>
      <w:jc w:val="center"/>
      <w:rPr>
        <w:b/>
        <w:sz w:val="20"/>
        <w:lang w:val="hr-HR"/>
      </w:rPr>
    </w:pPr>
    <w:r w:rsidRPr="008A201F">
      <w:rPr>
        <w:b/>
        <w:sz w:val="20"/>
        <w:lang w:val="hr-HR"/>
      </w:rPr>
      <w:t xml:space="preserve">Zelena akcija/FoE Croatia, Frankopanska 1, pp. 952, HR-10000 Zagreb, tel/faks: 01/4813096, za@zelena-akcija.hr, </w:t>
    </w:r>
    <w:hyperlink r:id="rId1" w:history="1">
      <w:r w:rsidRPr="00CF1EBA">
        <w:rPr>
          <w:rStyle w:val="Hyperlink"/>
          <w:b/>
          <w:sz w:val="20"/>
          <w:lang w:val="hr-HR"/>
        </w:rPr>
        <w:t>www.zelena-akcija.hr</w:t>
      </w:r>
    </w:hyperlink>
    <w:r w:rsidRPr="008A201F">
      <w:rPr>
        <w:b/>
        <w:sz w:val="20"/>
        <w:lang w:val="hr-HR"/>
      </w:rPr>
      <w:t>, MB:3467953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961" w:rsidRDefault="00190961" w:rsidP="00275FCC">
      <w:r>
        <w:separator/>
      </w:r>
    </w:p>
  </w:footnote>
  <w:footnote w:type="continuationSeparator" w:id="0">
    <w:p w:rsidR="00190961" w:rsidRDefault="00190961" w:rsidP="00275F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0CAE"/>
    <w:multiLevelType w:val="multilevel"/>
    <w:tmpl w:val="5C4AEBBA"/>
    <w:lvl w:ilvl="0">
      <w:start w:val="3"/>
      <w:numFmt w:val="decimal"/>
      <w:lvlText w:val="%1."/>
      <w:lvlJc w:val="left"/>
      <w:pPr>
        <w:ind w:left="360" w:hanging="360"/>
      </w:pPr>
      <w:rPr>
        <w:rFonts w:ascii="Arial" w:eastAsia="Calibri" w:hAnsi="Arial" w:cs="Arial" w:hint="default"/>
        <w:b w:val="0"/>
        <w:sz w:val="20"/>
      </w:rPr>
    </w:lvl>
    <w:lvl w:ilvl="1">
      <w:start w:val="7"/>
      <w:numFmt w:val="decimal"/>
      <w:lvlText w:val="%1.%2."/>
      <w:lvlJc w:val="left"/>
      <w:pPr>
        <w:ind w:left="720" w:hanging="720"/>
      </w:pPr>
      <w:rPr>
        <w:rFonts w:ascii="Arial" w:eastAsia="Calibri" w:hAnsi="Arial" w:cs="Arial" w:hint="default"/>
        <w:b w:val="0"/>
        <w:sz w:val="20"/>
      </w:rPr>
    </w:lvl>
    <w:lvl w:ilvl="2">
      <w:start w:val="1"/>
      <w:numFmt w:val="decimal"/>
      <w:lvlText w:val="%1.%2.%3."/>
      <w:lvlJc w:val="left"/>
      <w:pPr>
        <w:ind w:left="720" w:hanging="720"/>
      </w:pPr>
      <w:rPr>
        <w:rFonts w:ascii="Arial" w:eastAsia="Calibri" w:hAnsi="Arial" w:cs="Arial" w:hint="default"/>
        <w:b w:val="0"/>
        <w:sz w:val="20"/>
      </w:rPr>
    </w:lvl>
    <w:lvl w:ilvl="3">
      <w:start w:val="1"/>
      <w:numFmt w:val="decimal"/>
      <w:lvlText w:val="%1.%2.%3.%4."/>
      <w:lvlJc w:val="left"/>
      <w:pPr>
        <w:ind w:left="1080" w:hanging="1080"/>
      </w:pPr>
      <w:rPr>
        <w:rFonts w:ascii="Arial" w:eastAsia="Calibri" w:hAnsi="Arial" w:cs="Arial" w:hint="default"/>
        <w:b w:val="0"/>
        <w:sz w:val="20"/>
      </w:rPr>
    </w:lvl>
    <w:lvl w:ilvl="4">
      <w:start w:val="1"/>
      <w:numFmt w:val="decimal"/>
      <w:lvlText w:val="%1.%2.%3.%4.%5."/>
      <w:lvlJc w:val="left"/>
      <w:pPr>
        <w:ind w:left="1080" w:hanging="1080"/>
      </w:pPr>
      <w:rPr>
        <w:rFonts w:ascii="Arial" w:eastAsia="Calibri" w:hAnsi="Arial" w:cs="Arial" w:hint="default"/>
        <w:b w:val="0"/>
        <w:sz w:val="20"/>
      </w:rPr>
    </w:lvl>
    <w:lvl w:ilvl="5">
      <w:start w:val="1"/>
      <w:numFmt w:val="decimal"/>
      <w:lvlText w:val="%1.%2.%3.%4.%5.%6."/>
      <w:lvlJc w:val="left"/>
      <w:pPr>
        <w:ind w:left="1440" w:hanging="1440"/>
      </w:pPr>
      <w:rPr>
        <w:rFonts w:ascii="Arial" w:eastAsia="Calibri" w:hAnsi="Arial" w:cs="Arial" w:hint="default"/>
        <w:b w:val="0"/>
        <w:sz w:val="20"/>
      </w:rPr>
    </w:lvl>
    <w:lvl w:ilvl="6">
      <w:start w:val="1"/>
      <w:numFmt w:val="decimal"/>
      <w:lvlText w:val="%1.%2.%3.%4.%5.%6.%7."/>
      <w:lvlJc w:val="left"/>
      <w:pPr>
        <w:ind w:left="1440" w:hanging="1440"/>
      </w:pPr>
      <w:rPr>
        <w:rFonts w:ascii="Arial" w:eastAsia="Calibri" w:hAnsi="Arial" w:cs="Arial" w:hint="default"/>
        <w:b w:val="0"/>
        <w:sz w:val="20"/>
      </w:rPr>
    </w:lvl>
    <w:lvl w:ilvl="7">
      <w:start w:val="1"/>
      <w:numFmt w:val="decimal"/>
      <w:lvlText w:val="%1.%2.%3.%4.%5.%6.%7.%8."/>
      <w:lvlJc w:val="left"/>
      <w:pPr>
        <w:ind w:left="1800" w:hanging="1800"/>
      </w:pPr>
      <w:rPr>
        <w:rFonts w:ascii="Arial" w:eastAsia="Calibri" w:hAnsi="Arial" w:cs="Arial" w:hint="default"/>
        <w:b w:val="0"/>
        <w:sz w:val="20"/>
      </w:rPr>
    </w:lvl>
    <w:lvl w:ilvl="8">
      <w:start w:val="1"/>
      <w:numFmt w:val="decimal"/>
      <w:lvlText w:val="%1.%2.%3.%4.%5.%6.%7.%8.%9."/>
      <w:lvlJc w:val="left"/>
      <w:pPr>
        <w:ind w:left="1800" w:hanging="1800"/>
      </w:pPr>
      <w:rPr>
        <w:rFonts w:ascii="Arial" w:eastAsia="Calibri" w:hAnsi="Arial" w:cs="Arial" w:hint="default"/>
        <w:b w:val="0"/>
        <w:sz w:val="20"/>
      </w:rPr>
    </w:lvl>
  </w:abstractNum>
  <w:abstractNum w:abstractNumId="1">
    <w:nsid w:val="0A6457E2"/>
    <w:multiLevelType w:val="hybridMultilevel"/>
    <w:tmpl w:val="EE7CA922"/>
    <w:lvl w:ilvl="0" w:tplc="298C6922">
      <w:start w:val="5"/>
      <w:numFmt w:val="bullet"/>
      <w:pStyle w:val="Crtica"/>
      <w:lvlText w:val="-"/>
      <w:lvlJc w:val="left"/>
      <w:pPr>
        <w:tabs>
          <w:tab w:val="num" w:pos="720"/>
        </w:tabs>
        <w:ind w:left="720" w:hanging="360"/>
      </w:pPr>
      <w:rPr>
        <w:rFonts w:ascii="Garamond" w:eastAsia="SimSun"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95380D"/>
    <w:multiLevelType w:val="hybridMultilevel"/>
    <w:tmpl w:val="FFECC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F36300"/>
    <w:multiLevelType w:val="hybridMultilevel"/>
    <w:tmpl w:val="985CAB82"/>
    <w:lvl w:ilvl="0" w:tplc="041A0001">
      <w:start w:val="1"/>
      <w:numFmt w:val="decimal"/>
      <w:lvlText w:val="%1."/>
      <w:lvlJc w:val="left"/>
      <w:pPr>
        <w:tabs>
          <w:tab w:val="num" w:pos="720"/>
        </w:tabs>
        <w:ind w:left="720" w:hanging="360"/>
      </w:pPr>
      <w:rPr>
        <w:rFonts w:cs="Times New Roman" w:hint="default"/>
      </w:rPr>
    </w:lvl>
    <w:lvl w:ilvl="1" w:tplc="041A0003">
      <w:start w:val="5"/>
      <w:numFmt w:val="bullet"/>
      <w:lvlText w:val="-"/>
      <w:lvlJc w:val="left"/>
      <w:pPr>
        <w:tabs>
          <w:tab w:val="num" w:pos="1440"/>
        </w:tabs>
        <w:ind w:left="1440" w:hanging="360"/>
      </w:pPr>
      <w:rPr>
        <w:rFonts w:ascii="Garamond" w:eastAsia="SimSun" w:hAnsi="Garamond" w:hint="default"/>
      </w:rPr>
    </w:lvl>
    <w:lvl w:ilvl="2" w:tplc="041A0005">
      <w:start w:val="1"/>
      <w:numFmt w:val="decimal"/>
      <w:lvlText w:val="%3."/>
      <w:lvlJc w:val="left"/>
      <w:pPr>
        <w:tabs>
          <w:tab w:val="num" w:pos="2160"/>
        </w:tabs>
        <w:ind w:left="2160" w:hanging="360"/>
      </w:pPr>
      <w:rPr>
        <w:rFonts w:cs="Times New Roman"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nsid w:val="2EBB062D"/>
    <w:multiLevelType w:val="multilevel"/>
    <w:tmpl w:val="0748AB02"/>
    <w:lvl w:ilvl="0">
      <w:start w:val="1"/>
      <w:numFmt w:val="decimal"/>
      <w:pStyle w:val="Heading1"/>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pStyle w:val="Heading4"/>
      <w:lvlText w:val="%1.%2.%3.%4"/>
      <w:lvlJc w:val="left"/>
      <w:pPr>
        <w:tabs>
          <w:tab w:val="num" w:pos="855"/>
        </w:tabs>
        <w:ind w:left="855" w:hanging="855"/>
      </w:pPr>
      <w:rPr>
        <w:rFonts w:hint="default"/>
      </w:rPr>
    </w:lvl>
    <w:lvl w:ilvl="4">
      <w:start w:val="1"/>
      <w:numFmt w:val="decimal"/>
      <w:pStyle w:val="Heading5"/>
      <w:lvlText w:val="%1.%2.%3.%4.%5"/>
      <w:lvlJc w:val="left"/>
      <w:pPr>
        <w:tabs>
          <w:tab w:val="num" w:pos="1080"/>
        </w:tabs>
        <w:ind w:left="1080" w:hanging="1080"/>
      </w:pPr>
      <w:rPr>
        <w:rFonts w:hint="default"/>
      </w:rPr>
    </w:lvl>
    <w:lvl w:ilvl="5">
      <w:start w:val="1"/>
      <w:numFmt w:val="decimal"/>
      <w:pStyle w:val="Heading6"/>
      <w:lvlText w:val="%1.%2.%3.%4.%5.%6"/>
      <w:lvlJc w:val="left"/>
      <w:pPr>
        <w:tabs>
          <w:tab w:val="num" w:pos="1080"/>
        </w:tabs>
        <w:ind w:left="1080" w:hanging="1080"/>
      </w:pPr>
      <w:rPr>
        <w:rFonts w:hint="default"/>
      </w:rPr>
    </w:lvl>
    <w:lvl w:ilvl="6">
      <w:start w:val="1"/>
      <w:numFmt w:val="decimal"/>
      <w:pStyle w:val="Heading7"/>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E7A1069"/>
    <w:multiLevelType w:val="multilevel"/>
    <w:tmpl w:val="91F4A8FA"/>
    <w:lvl w:ilvl="0">
      <w:start w:val="3"/>
      <w:numFmt w:val="decimal"/>
      <w:lvlText w:val="%1."/>
      <w:lvlJc w:val="left"/>
      <w:pPr>
        <w:ind w:left="390" w:hanging="390"/>
      </w:pPr>
      <w:rPr>
        <w:rFonts w:hint="default"/>
        <w:b w:val="0"/>
      </w:rPr>
    </w:lvl>
    <w:lvl w:ilvl="1">
      <w:start w:val="7"/>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5E6"/>
    <w:rsid w:val="0000040B"/>
    <w:rsid w:val="000008B2"/>
    <w:rsid w:val="00033B7B"/>
    <w:rsid w:val="00056DAE"/>
    <w:rsid w:val="000744AF"/>
    <w:rsid w:val="00076C01"/>
    <w:rsid w:val="000907BA"/>
    <w:rsid w:val="0009488A"/>
    <w:rsid w:val="00095180"/>
    <w:rsid w:val="000963D9"/>
    <w:rsid w:val="000A17E8"/>
    <w:rsid w:val="000B4485"/>
    <w:rsid w:val="000B60CC"/>
    <w:rsid w:val="000D1BAD"/>
    <w:rsid w:val="000E5F9D"/>
    <w:rsid w:val="00123CA8"/>
    <w:rsid w:val="00125342"/>
    <w:rsid w:val="00126826"/>
    <w:rsid w:val="00135A6D"/>
    <w:rsid w:val="001372AD"/>
    <w:rsid w:val="001558F3"/>
    <w:rsid w:val="00155B99"/>
    <w:rsid w:val="001617EC"/>
    <w:rsid w:val="0017257B"/>
    <w:rsid w:val="00183B38"/>
    <w:rsid w:val="00190961"/>
    <w:rsid w:val="001A2542"/>
    <w:rsid w:val="001A5DED"/>
    <w:rsid w:val="001B0176"/>
    <w:rsid w:val="001C187C"/>
    <w:rsid w:val="00250CB0"/>
    <w:rsid w:val="00254ED9"/>
    <w:rsid w:val="00275FCC"/>
    <w:rsid w:val="00287085"/>
    <w:rsid w:val="002C26C6"/>
    <w:rsid w:val="002D5C39"/>
    <w:rsid w:val="002F1B14"/>
    <w:rsid w:val="00313EFF"/>
    <w:rsid w:val="00331F2B"/>
    <w:rsid w:val="00366CB0"/>
    <w:rsid w:val="00381B99"/>
    <w:rsid w:val="003A329E"/>
    <w:rsid w:val="003A50C3"/>
    <w:rsid w:val="003B0EDB"/>
    <w:rsid w:val="003C0F48"/>
    <w:rsid w:val="003E052D"/>
    <w:rsid w:val="00433880"/>
    <w:rsid w:val="00436593"/>
    <w:rsid w:val="0047336D"/>
    <w:rsid w:val="004753D0"/>
    <w:rsid w:val="004A6909"/>
    <w:rsid w:val="004B5BFF"/>
    <w:rsid w:val="004C3436"/>
    <w:rsid w:val="004E6198"/>
    <w:rsid w:val="004F7D8A"/>
    <w:rsid w:val="00500525"/>
    <w:rsid w:val="00534E29"/>
    <w:rsid w:val="00537362"/>
    <w:rsid w:val="00540A22"/>
    <w:rsid w:val="00550BE2"/>
    <w:rsid w:val="00566B8B"/>
    <w:rsid w:val="005750CE"/>
    <w:rsid w:val="00580CB5"/>
    <w:rsid w:val="005A2DFB"/>
    <w:rsid w:val="005A45E6"/>
    <w:rsid w:val="005A465E"/>
    <w:rsid w:val="005B50B8"/>
    <w:rsid w:val="005C1551"/>
    <w:rsid w:val="005C201A"/>
    <w:rsid w:val="005C7C64"/>
    <w:rsid w:val="00601A71"/>
    <w:rsid w:val="0061338F"/>
    <w:rsid w:val="0063117E"/>
    <w:rsid w:val="00635C78"/>
    <w:rsid w:val="006623A5"/>
    <w:rsid w:val="00666CF1"/>
    <w:rsid w:val="006670A5"/>
    <w:rsid w:val="00675A42"/>
    <w:rsid w:val="00693B8B"/>
    <w:rsid w:val="00693BDE"/>
    <w:rsid w:val="00696047"/>
    <w:rsid w:val="006B3355"/>
    <w:rsid w:val="006E0E32"/>
    <w:rsid w:val="006E78F2"/>
    <w:rsid w:val="007100B8"/>
    <w:rsid w:val="00716D8D"/>
    <w:rsid w:val="00736C20"/>
    <w:rsid w:val="007451CB"/>
    <w:rsid w:val="007521DC"/>
    <w:rsid w:val="007557CD"/>
    <w:rsid w:val="00757A29"/>
    <w:rsid w:val="00757C01"/>
    <w:rsid w:val="007711EA"/>
    <w:rsid w:val="007818C9"/>
    <w:rsid w:val="00785063"/>
    <w:rsid w:val="00794824"/>
    <w:rsid w:val="007B5DFE"/>
    <w:rsid w:val="007B6F9D"/>
    <w:rsid w:val="007B71BD"/>
    <w:rsid w:val="007B7F6B"/>
    <w:rsid w:val="007E26F9"/>
    <w:rsid w:val="007F3986"/>
    <w:rsid w:val="00820283"/>
    <w:rsid w:val="008264B8"/>
    <w:rsid w:val="00856E0F"/>
    <w:rsid w:val="0086534B"/>
    <w:rsid w:val="00873004"/>
    <w:rsid w:val="0091341A"/>
    <w:rsid w:val="00935342"/>
    <w:rsid w:val="00947D42"/>
    <w:rsid w:val="0096252C"/>
    <w:rsid w:val="009662EB"/>
    <w:rsid w:val="00972417"/>
    <w:rsid w:val="009820CC"/>
    <w:rsid w:val="009B7944"/>
    <w:rsid w:val="009C59C3"/>
    <w:rsid w:val="009D79E6"/>
    <w:rsid w:val="009E43A6"/>
    <w:rsid w:val="009E4813"/>
    <w:rsid w:val="009F72B2"/>
    <w:rsid w:val="00A11591"/>
    <w:rsid w:val="00A14F7B"/>
    <w:rsid w:val="00A44A8C"/>
    <w:rsid w:val="00A45DF9"/>
    <w:rsid w:val="00A55AF3"/>
    <w:rsid w:val="00A946E5"/>
    <w:rsid w:val="00A97600"/>
    <w:rsid w:val="00AB019A"/>
    <w:rsid w:val="00AD68F2"/>
    <w:rsid w:val="00AE1972"/>
    <w:rsid w:val="00AF048E"/>
    <w:rsid w:val="00AF7664"/>
    <w:rsid w:val="00B23FAD"/>
    <w:rsid w:val="00B5130A"/>
    <w:rsid w:val="00B703D9"/>
    <w:rsid w:val="00B82B4A"/>
    <w:rsid w:val="00B962E6"/>
    <w:rsid w:val="00BA5095"/>
    <w:rsid w:val="00BB15D0"/>
    <w:rsid w:val="00BB4264"/>
    <w:rsid w:val="00BB4730"/>
    <w:rsid w:val="00BD0C35"/>
    <w:rsid w:val="00BD2DD1"/>
    <w:rsid w:val="00BF4822"/>
    <w:rsid w:val="00BF7EEB"/>
    <w:rsid w:val="00C0292B"/>
    <w:rsid w:val="00C13AFF"/>
    <w:rsid w:val="00C5166B"/>
    <w:rsid w:val="00C54E13"/>
    <w:rsid w:val="00C611F5"/>
    <w:rsid w:val="00C717E3"/>
    <w:rsid w:val="00C87AC0"/>
    <w:rsid w:val="00C924EE"/>
    <w:rsid w:val="00CB2CEF"/>
    <w:rsid w:val="00CE50A8"/>
    <w:rsid w:val="00CF7D78"/>
    <w:rsid w:val="00D103D5"/>
    <w:rsid w:val="00D30780"/>
    <w:rsid w:val="00D318E6"/>
    <w:rsid w:val="00D44520"/>
    <w:rsid w:val="00D4622F"/>
    <w:rsid w:val="00D530BD"/>
    <w:rsid w:val="00D65262"/>
    <w:rsid w:val="00D96C9E"/>
    <w:rsid w:val="00DA21E5"/>
    <w:rsid w:val="00DC60A0"/>
    <w:rsid w:val="00DF64C0"/>
    <w:rsid w:val="00E05C89"/>
    <w:rsid w:val="00E138EC"/>
    <w:rsid w:val="00E16741"/>
    <w:rsid w:val="00E21815"/>
    <w:rsid w:val="00E278F6"/>
    <w:rsid w:val="00E42A03"/>
    <w:rsid w:val="00E55751"/>
    <w:rsid w:val="00E60FFB"/>
    <w:rsid w:val="00E83AC3"/>
    <w:rsid w:val="00E86D5A"/>
    <w:rsid w:val="00EA2C81"/>
    <w:rsid w:val="00EB7ABB"/>
    <w:rsid w:val="00EC1C93"/>
    <w:rsid w:val="00ED14F9"/>
    <w:rsid w:val="00EE2E3D"/>
    <w:rsid w:val="00EE625E"/>
    <w:rsid w:val="00EE70DD"/>
    <w:rsid w:val="00F04019"/>
    <w:rsid w:val="00F23321"/>
    <w:rsid w:val="00F32529"/>
    <w:rsid w:val="00F34E88"/>
    <w:rsid w:val="00F57A3C"/>
    <w:rsid w:val="00F914AC"/>
    <w:rsid w:val="00F92D35"/>
    <w:rsid w:val="00FB253B"/>
    <w:rsid w:val="00FB3FD6"/>
    <w:rsid w:val="00FB4591"/>
    <w:rsid w:val="00FD0DE7"/>
    <w:rsid w:val="00FD6FF2"/>
    <w:rsid w:val="00FD7325"/>
    <w:rsid w:val="00FE7135"/>
    <w:rsid w:val="00FF0B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97E341-D1A2-4E99-8B96-27FA5027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80"/>
    <w:rPr>
      <w:sz w:val="24"/>
      <w:szCs w:val="24"/>
      <w:lang w:val="en-GB" w:eastAsia="en-US"/>
    </w:rPr>
  </w:style>
  <w:style w:type="paragraph" w:styleId="Heading1">
    <w:name w:val="heading 1"/>
    <w:basedOn w:val="Normal"/>
    <w:next w:val="Normal"/>
    <w:link w:val="Heading1Char"/>
    <w:autoRedefine/>
    <w:qFormat/>
    <w:rsid w:val="00DF64C0"/>
    <w:pPr>
      <w:keepNext/>
      <w:pageBreakBefore/>
      <w:numPr>
        <w:numId w:val="2"/>
      </w:numPr>
      <w:spacing w:before="240" w:after="240"/>
      <w:outlineLvl w:val="0"/>
    </w:pPr>
    <w:rPr>
      <w:rFonts w:ascii="Calibri" w:hAnsi="Calibri"/>
      <w:b/>
      <w:bCs/>
      <w:kern w:val="32"/>
      <w:sz w:val="28"/>
      <w:szCs w:val="28"/>
      <w:lang w:val="hr-HR" w:eastAsia="hr-HR"/>
    </w:rPr>
  </w:style>
  <w:style w:type="paragraph" w:styleId="Heading2">
    <w:name w:val="heading 2"/>
    <w:basedOn w:val="Normal"/>
    <w:next w:val="Normal"/>
    <w:link w:val="Heading2Char"/>
    <w:autoRedefine/>
    <w:qFormat/>
    <w:rsid w:val="00AB019A"/>
    <w:pPr>
      <w:keepNext/>
      <w:spacing w:before="240" w:after="120"/>
      <w:outlineLvl w:val="1"/>
    </w:pPr>
    <w:rPr>
      <w:rFonts w:ascii="Arial" w:hAnsi="Arial" w:cs="Arial"/>
      <w:b/>
      <w:bCs/>
      <w:iCs/>
      <w:caps/>
      <w:sz w:val="20"/>
      <w:szCs w:val="20"/>
      <w:u w:val="single"/>
      <w:lang w:val="hr-HR"/>
    </w:rPr>
  </w:style>
  <w:style w:type="paragraph" w:styleId="Heading3">
    <w:name w:val="heading 3"/>
    <w:basedOn w:val="Normal"/>
    <w:next w:val="Normal"/>
    <w:link w:val="Heading3Char"/>
    <w:autoRedefine/>
    <w:qFormat/>
    <w:rsid w:val="00DF64C0"/>
    <w:pPr>
      <w:keepNext/>
      <w:numPr>
        <w:ilvl w:val="2"/>
        <w:numId w:val="2"/>
      </w:numPr>
      <w:spacing w:before="120" w:after="120"/>
      <w:jc w:val="both"/>
      <w:outlineLvl w:val="2"/>
    </w:pPr>
    <w:rPr>
      <w:b/>
      <w:bCs/>
      <w:lang w:val="hr-HR"/>
    </w:rPr>
  </w:style>
  <w:style w:type="paragraph" w:styleId="Heading4">
    <w:name w:val="heading 4"/>
    <w:basedOn w:val="Normal"/>
    <w:next w:val="Normal"/>
    <w:link w:val="Heading4Char"/>
    <w:qFormat/>
    <w:rsid w:val="00DF64C0"/>
    <w:pPr>
      <w:keepNext/>
      <w:numPr>
        <w:ilvl w:val="3"/>
        <w:numId w:val="2"/>
      </w:numPr>
      <w:spacing w:before="240" w:after="60"/>
      <w:outlineLvl w:val="3"/>
    </w:pPr>
    <w:rPr>
      <w:rFonts w:ascii="Calibri" w:hAnsi="Calibri"/>
      <w:b/>
      <w:bCs/>
      <w:sz w:val="28"/>
      <w:szCs w:val="28"/>
      <w:lang w:val="hr-HR" w:eastAsia="hr-HR"/>
    </w:rPr>
  </w:style>
  <w:style w:type="paragraph" w:styleId="Heading5">
    <w:name w:val="heading 5"/>
    <w:basedOn w:val="Normal"/>
    <w:next w:val="Normal"/>
    <w:link w:val="Heading5Char"/>
    <w:qFormat/>
    <w:rsid w:val="00DF64C0"/>
    <w:pPr>
      <w:numPr>
        <w:ilvl w:val="4"/>
        <w:numId w:val="2"/>
      </w:numPr>
      <w:spacing w:before="240" w:after="60"/>
      <w:outlineLvl w:val="4"/>
    </w:pPr>
    <w:rPr>
      <w:rFonts w:ascii="Calibri" w:hAnsi="Calibri"/>
      <w:b/>
      <w:bCs/>
      <w:i/>
      <w:iCs/>
      <w:sz w:val="26"/>
      <w:szCs w:val="26"/>
      <w:lang w:val="hr-HR" w:eastAsia="hr-HR"/>
    </w:rPr>
  </w:style>
  <w:style w:type="paragraph" w:styleId="Heading6">
    <w:name w:val="heading 6"/>
    <w:basedOn w:val="Normal"/>
    <w:next w:val="Normal"/>
    <w:link w:val="Heading6Char"/>
    <w:qFormat/>
    <w:rsid w:val="00DF64C0"/>
    <w:pPr>
      <w:numPr>
        <w:ilvl w:val="5"/>
        <w:numId w:val="2"/>
      </w:numPr>
      <w:spacing w:before="240" w:after="60"/>
      <w:outlineLvl w:val="5"/>
    </w:pPr>
    <w:rPr>
      <w:rFonts w:ascii="Calibri" w:hAnsi="Calibri"/>
      <w:b/>
      <w:bCs/>
      <w:sz w:val="20"/>
      <w:szCs w:val="20"/>
      <w:lang w:val="hr-HR" w:eastAsia="hr-HR"/>
    </w:rPr>
  </w:style>
  <w:style w:type="paragraph" w:styleId="Heading7">
    <w:name w:val="heading 7"/>
    <w:basedOn w:val="Normal"/>
    <w:next w:val="Normal"/>
    <w:link w:val="Heading7Char"/>
    <w:qFormat/>
    <w:rsid w:val="00DF64C0"/>
    <w:pPr>
      <w:numPr>
        <w:ilvl w:val="6"/>
        <w:numId w:val="2"/>
      </w:numPr>
      <w:spacing w:before="240" w:after="60"/>
      <w:outlineLvl w:val="6"/>
    </w:pPr>
    <w:rPr>
      <w:rFonts w:ascii="Calibri" w:hAnsi="Calibri"/>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095180"/>
    <w:rPr>
      <w:rFonts w:ascii="Arial" w:eastAsia="Arial Unicode MS" w:hAnsi="Arial" w:cs="Arial"/>
      <w:sz w:val="18"/>
      <w:szCs w:val="18"/>
      <w:lang w:val="hr-HR"/>
    </w:rPr>
  </w:style>
  <w:style w:type="paragraph" w:styleId="BodyText">
    <w:name w:val="Body Text"/>
    <w:basedOn w:val="Normal"/>
    <w:semiHidden/>
    <w:rsid w:val="00095180"/>
    <w:pPr>
      <w:jc w:val="both"/>
    </w:pPr>
    <w:rPr>
      <w:rFonts w:ascii="Arial" w:hAnsi="Arial" w:cs="Arial"/>
      <w:sz w:val="20"/>
    </w:rPr>
  </w:style>
  <w:style w:type="paragraph" w:styleId="Header">
    <w:name w:val="header"/>
    <w:basedOn w:val="Normal"/>
    <w:link w:val="HeaderChar"/>
    <w:uiPriority w:val="99"/>
    <w:semiHidden/>
    <w:unhideWhenUsed/>
    <w:rsid w:val="00275FCC"/>
    <w:pPr>
      <w:tabs>
        <w:tab w:val="center" w:pos="4536"/>
        <w:tab w:val="right" w:pos="9072"/>
      </w:tabs>
    </w:pPr>
  </w:style>
  <w:style w:type="character" w:customStyle="1" w:styleId="HeaderChar">
    <w:name w:val="Header Char"/>
    <w:basedOn w:val="DefaultParagraphFont"/>
    <w:link w:val="Header"/>
    <w:uiPriority w:val="99"/>
    <w:semiHidden/>
    <w:rsid w:val="00275FCC"/>
    <w:rPr>
      <w:sz w:val="24"/>
      <w:szCs w:val="24"/>
      <w:lang w:val="en-GB" w:eastAsia="en-US"/>
    </w:rPr>
  </w:style>
  <w:style w:type="paragraph" w:styleId="Footer">
    <w:name w:val="footer"/>
    <w:basedOn w:val="Normal"/>
    <w:link w:val="FooterChar"/>
    <w:semiHidden/>
    <w:unhideWhenUsed/>
    <w:rsid w:val="00275FCC"/>
    <w:pPr>
      <w:tabs>
        <w:tab w:val="center" w:pos="4536"/>
        <w:tab w:val="right" w:pos="9072"/>
      </w:tabs>
    </w:pPr>
  </w:style>
  <w:style w:type="character" w:customStyle="1" w:styleId="FooterChar">
    <w:name w:val="Footer Char"/>
    <w:basedOn w:val="DefaultParagraphFont"/>
    <w:link w:val="Footer"/>
    <w:uiPriority w:val="99"/>
    <w:semiHidden/>
    <w:rsid w:val="00275FCC"/>
    <w:rPr>
      <w:sz w:val="24"/>
      <w:szCs w:val="24"/>
      <w:lang w:val="en-GB" w:eastAsia="en-US"/>
    </w:rPr>
  </w:style>
  <w:style w:type="character" w:styleId="Hyperlink">
    <w:name w:val="Hyperlink"/>
    <w:basedOn w:val="DefaultParagraphFont"/>
    <w:rsid w:val="00275FCC"/>
    <w:rPr>
      <w:color w:val="0000FF"/>
      <w:u w:val="single"/>
    </w:rPr>
  </w:style>
  <w:style w:type="character" w:customStyle="1" w:styleId="usercontent">
    <w:name w:val="usercontent"/>
    <w:basedOn w:val="DefaultParagraphFont"/>
    <w:rsid w:val="0091341A"/>
  </w:style>
  <w:style w:type="character" w:customStyle="1" w:styleId="textexposedshow">
    <w:name w:val="text_exposed_show"/>
    <w:basedOn w:val="DefaultParagraphFont"/>
    <w:rsid w:val="00BF4822"/>
  </w:style>
  <w:style w:type="paragraph" w:styleId="ListParagraph">
    <w:name w:val="List Paragraph"/>
    <w:basedOn w:val="Normal"/>
    <w:uiPriority w:val="34"/>
    <w:qFormat/>
    <w:rsid w:val="00BF4822"/>
    <w:pPr>
      <w:ind w:left="720"/>
      <w:contextualSpacing/>
    </w:pPr>
  </w:style>
  <w:style w:type="paragraph" w:customStyle="1" w:styleId="Pravitekst">
    <w:name w:val="Pravi tekst"/>
    <w:basedOn w:val="Normal"/>
    <w:link w:val="PravitekstChar"/>
    <w:autoRedefine/>
    <w:rsid w:val="00E86D5A"/>
    <w:pPr>
      <w:jc w:val="both"/>
    </w:pPr>
    <w:rPr>
      <w:rFonts w:ascii="Arial" w:eastAsia="Calibri" w:hAnsi="Arial"/>
      <w:bCs/>
      <w:i/>
      <w:sz w:val="20"/>
      <w:szCs w:val="20"/>
    </w:rPr>
  </w:style>
  <w:style w:type="character" w:customStyle="1" w:styleId="PravitekstChar">
    <w:name w:val="Pravi tekst Char"/>
    <w:link w:val="Pravitekst"/>
    <w:rsid w:val="00E86D5A"/>
    <w:rPr>
      <w:rFonts w:ascii="Arial" w:eastAsia="Calibri" w:hAnsi="Arial" w:cs="Arial"/>
      <w:bCs/>
      <w:i/>
      <w:lang w:eastAsia="en-US"/>
    </w:rPr>
  </w:style>
  <w:style w:type="paragraph" w:customStyle="1" w:styleId="tekst">
    <w:name w:val="tekst"/>
    <w:basedOn w:val="Pravitekst"/>
    <w:link w:val="tekstChar"/>
    <w:qFormat/>
    <w:rsid w:val="00AD68F2"/>
    <w:pPr>
      <w:ind w:firstLine="284"/>
    </w:pPr>
    <w:rPr>
      <w:rFonts w:ascii="Times New Roman" w:hAnsi="Times New Roman"/>
      <w:i w:val="0"/>
      <w:sz w:val="24"/>
      <w:szCs w:val="24"/>
    </w:rPr>
  </w:style>
  <w:style w:type="character" w:customStyle="1" w:styleId="tekstChar">
    <w:name w:val="tekst Char"/>
    <w:link w:val="tekst"/>
    <w:rsid w:val="00AD68F2"/>
    <w:rPr>
      <w:rFonts w:eastAsia="Calibri"/>
      <w:bCs/>
      <w:sz w:val="24"/>
      <w:szCs w:val="24"/>
      <w:lang w:eastAsia="en-US"/>
    </w:rPr>
  </w:style>
  <w:style w:type="table" w:styleId="TableGrid">
    <w:name w:val="Table Grid"/>
    <w:basedOn w:val="TableNormal"/>
    <w:uiPriority w:val="59"/>
    <w:rsid w:val="003B0EDB"/>
    <w:rPr>
      <w:rFonts w:ascii="Calibri" w:eastAsia="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aviteksbezuvlakeBold">
    <w:name w:val="Pravi teks bez uvlake Bold"/>
    <w:basedOn w:val="Normal"/>
    <w:link w:val="PraviteksbezuvlakeBoldChar"/>
    <w:autoRedefine/>
    <w:rsid w:val="009E4813"/>
    <w:pPr>
      <w:jc w:val="both"/>
    </w:pPr>
    <w:rPr>
      <w:bCs/>
    </w:rPr>
  </w:style>
  <w:style w:type="character" w:customStyle="1" w:styleId="PraviteksbezuvlakeBoldChar">
    <w:name w:val="Pravi teks bez uvlake Bold Char"/>
    <w:link w:val="PraviteksbezuvlakeBold"/>
    <w:rsid w:val="009E4813"/>
    <w:rPr>
      <w:bCs/>
      <w:sz w:val="24"/>
      <w:szCs w:val="24"/>
      <w:lang w:eastAsia="en-US"/>
    </w:rPr>
  </w:style>
  <w:style w:type="paragraph" w:customStyle="1" w:styleId="nazivtabliceislike">
    <w:name w:val="naziv tablice i slike"/>
    <w:basedOn w:val="Normal"/>
    <w:link w:val="nazivtabliceislikeChar"/>
    <w:qFormat/>
    <w:rsid w:val="009E4813"/>
    <w:pPr>
      <w:spacing w:after="60"/>
      <w:jc w:val="both"/>
    </w:pPr>
  </w:style>
  <w:style w:type="character" w:customStyle="1" w:styleId="nazivtabliceislikeChar">
    <w:name w:val="naziv tablice i slike Char"/>
    <w:link w:val="nazivtabliceislike"/>
    <w:rsid w:val="009E4813"/>
    <w:rPr>
      <w:sz w:val="24"/>
      <w:szCs w:val="24"/>
      <w:lang w:eastAsia="en-US"/>
    </w:rPr>
  </w:style>
  <w:style w:type="character" w:customStyle="1" w:styleId="Heading1Char">
    <w:name w:val="Heading 1 Char"/>
    <w:basedOn w:val="DefaultParagraphFont"/>
    <w:link w:val="Heading1"/>
    <w:rsid w:val="00DF64C0"/>
    <w:rPr>
      <w:rFonts w:ascii="Calibri" w:hAnsi="Calibri"/>
      <w:b/>
      <w:bCs/>
      <w:kern w:val="32"/>
      <w:sz w:val="28"/>
      <w:szCs w:val="28"/>
    </w:rPr>
  </w:style>
  <w:style w:type="character" w:customStyle="1" w:styleId="Heading2Char">
    <w:name w:val="Heading 2 Char"/>
    <w:basedOn w:val="DefaultParagraphFont"/>
    <w:link w:val="Heading2"/>
    <w:rsid w:val="00AB019A"/>
    <w:rPr>
      <w:rFonts w:ascii="Arial" w:hAnsi="Arial" w:cs="Arial"/>
      <w:b/>
      <w:bCs/>
      <w:iCs/>
      <w:caps/>
      <w:u w:val="single"/>
      <w:lang w:eastAsia="en-US"/>
    </w:rPr>
  </w:style>
  <w:style w:type="character" w:customStyle="1" w:styleId="Heading3Char">
    <w:name w:val="Heading 3 Char"/>
    <w:basedOn w:val="DefaultParagraphFont"/>
    <w:link w:val="Heading3"/>
    <w:rsid w:val="00DF64C0"/>
    <w:rPr>
      <w:b/>
      <w:bCs/>
      <w:sz w:val="24"/>
      <w:szCs w:val="24"/>
      <w:lang w:eastAsia="en-US"/>
    </w:rPr>
  </w:style>
  <w:style w:type="character" w:customStyle="1" w:styleId="Heading4Char">
    <w:name w:val="Heading 4 Char"/>
    <w:basedOn w:val="DefaultParagraphFont"/>
    <w:link w:val="Heading4"/>
    <w:rsid w:val="00DF64C0"/>
    <w:rPr>
      <w:rFonts w:ascii="Calibri" w:hAnsi="Calibri"/>
      <w:b/>
      <w:bCs/>
      <w:sz w:val="28"/>
      <w:szCs w:val="28"/>
    </w:rPr>
  </w:style>
  <w:style w:type="character" w:customStyle="1" w:styleId="Heading5Char">
    <w:name w:val="Heading 5 Char"/>
    <w:basedOn w:val="DefaultParagraphFont"/>
    <w:link w:val="Heading5"/>
    <w:rsid w:val="00DF64C0"/>
    <w:rPr>
      <w:rFonts w:ascii="Calibri" w:hAnsi="Calibri"/>
      <w:b/>
      <w:bCs/>
      <w:i/>
      <w:iCs/>
      <w:sz w:val="26"/>
      <w:szCs w:val="26"/>
    </w:rPr>
  </w:style>
  <w:style w:type="character" w:customStyle="1" w:styleId="Heading6Char">
    <w:name w:val="Heading 6 Char"/>
    <w:basedOn w:val="DefaultParagraphFont"/>
    <w:link w:val="Heading6"/>
    <w:rsid w:val="00DF64C0"/>
    <w:rPr>
      <w:rFonts w:ascii="Calibri" w:hAnsi="Calibri"/>
      <w:b/>
      <w:bCs/>
    </w:rPr>
  </w:style>
  <w:style w:type="character" w:customStyle="1" w:styleId="Heading7Char">
    <w:name w:val="Heading 7 Char"/>
    <w:basedOn w:val="DefaultParagraphFont"/>
    <w:link w:val="Heading7"/>
    <w:rsid w:val="00DF64C0"/>
    <w:rPr>
      <w:rFonts w:ascii="Calibri" w:hAnsi="Calibri"/>
      <w:sz w:val="24"/>
      <w:szCs w:val="24"/>
    </w:rPr>
  </w:style>
  <w:style w:type="character" w:styleId="FollowedHyperlink">
    <w:name w:val="FollowedHyperlink"/>
    <w:rsid w:val="00076C01"/>
    <w:rPr>
      <w:color w:val="800080"/>
      <w:u w:val="single"/>
    </w:rPr>
  </w:style>
  <w:style w:type="paragraph" w:customStyle="1" w:styleId="Komentar">
    <w:name w:val="Komentar"/>
    <w:basedOn w:val="Normal"/>
    <w:link w:val="KomentarChar"/>
    <w:autoRedefine/>
    <w:rsid w:val="00076C01"/>
    <w:rPr>
      <w:rFonts w:ascii="Calibri" w:hAnsi="Calibri"/>
      <w:sz w:val="20"/>
      <w:szCs w:val="20"/>
    </w:rPr>
  </w:style>
  <w:style w:type="character" w:customStyle="1" w:styleId="KomentarChar">
    <w:name w:val="Komentar Char"/>
    <w:link w:val="Komentar"/>
    <w:rsid w:val="00076C01"/>
    <w:rPr>
      <w:rFonts w:ascii="Calibri" w:hAnsi="Calibri"/>
      <w:lang w:eastAsia="en-US"/>
    </w:rPr>
  </w:style>
  <w:style w:type="character" w:styleId="SubtleEmphasis">
    <w:name w:val="Subtle Emphasis"/>
    <w:uiPriority w:val="19"/>
    <w:qFormat/>
    <w:rsid w:val="00076C01"/>
    <w:rPr>
      <w:rFonts w:ascii="Times New Roman" w:hAnsi="Times New Roman"/>
      <w:iCs/>
      <w:color w:val="auto"/>
      <w:sz w:val="20"/>
    </w:rPr>
  </w:style>
  <w:style w:type="paragraph" w:customStyle="1" w:styleId="Crtica">
    <w:name w:val="Crtica"/>
    <w:basedOn w:val="Normal"/>
    <w:autoRedefine/>
    <w:rsid w:val="00935342"/>
    <w:pPr>
      <w:numPr>
        <w:numId w:val="5"/>
      </w:numPr>
      <w:jc w:val="both"/>
    </w:pPr>
    <w:rPr>
      <w:lang w:val="hr-HR"/>
    </w:rPr>
  </w:style>
  <w:style w:type="paragraph" w:customStyle="1" w:styleId="Tabledataright">
    <w:name w:val="Table data right"/>
    <w:basedOn w:val="Normal"/>
    <w:autoRedefine/>
    <w:rsid w:val="00696047"/>
    <w:pPr>
      <w:jc w:val="right"/>
    </w:pPr>
    <w:rPr>
      <w:sz w:val="20"/>
      <w:szCs w:val="22"/>
      <w:lang w:val="hr-HR" w:eastAsia="hr-HR"/>
    </w:rPr>
  </w:style>
  <w:style w:type="paragraph" w:customStyle="1" w:styleId="Pravitekstbold">
    <w:name w:val="Pravi tekst bold"/>
    <w:basedOn w:val="Pravitekst"/>
    <w:link w:val="PravitekstboldChar"/>
    <w:autoRedefine/>
    <w:rsid w:val="00436593"/>
    <w:rPr>
      <w:rFonts w:eastAsia="Times New Roman"/>
      <w:bCs w:val="0"/>
    </w:rPr>
  </w:style>
  <w:style w:type="character" w:customStyle="1" w:styleId="PravitekstboldChar">
    <w:name w:val="Pravi tekst bold Char"/>
    <w:link w:val="Pravitekstbold"/>
    <w:rsid w:val="00436593"/>
    <w:rPr>
      <w:rFonts w:ascii="Arial" w:hAnsi="Arial" w:cs="Arial"/>
      <w:i/>
      <w:lang w:eastAsia="en-US"/>
    </w:rPr>
  </w:style>
  <w:style w:type="paragraph" w:customStyle="1" w:styleId="Odbrojavanja">
    <w:name w:val="Odbrojavanja"/>
    <w:basedOn w:val="Normal"/>
    <w:autoRedefine/>
    <w:rsid w:val="001372AD"/>
    <w:pPr>
      <w:tabs>
        <w:tab w:val="num" w:pos="1077"/>
      </w:tabs>
      <w:ind w:left="1077" w:hanging="360"/>
      <w:jc w:val="both"/>
    </w:pPr>
    <w:rPr>
      <w:lang w:val="hr-HR"/>
    </w:rPr>
  </w:style>
  <w:style w:type="paragraph" w:customStyle="1" w:styleId="Default">
    <w:name w:val="Default"/>
    <w:rsid w:val="006E78F2"/>
    <w:pPr>
      <w:autoSpaceDE w:val="0"/>
      <w:autoSpaceDN w:val="0"/>
      <w:adjustRightInd w:val="0"/>
    </w:pPr>
    <w:rPr>
      <w:color w:val="000000"/>
      <w:sz w:val="24"/>
      <w:szCs w:val="24"/>
    </w:rPr>
  </w:style>
  <w:style w:type="paragraph" w:styleId="CommentText">
    <w:name w:val="annotation text"/>
    <w:basedOn w:val="Normal"/>
    <w:link w:val="CommentTextChar"/>
    <w:uiPriority w:val="99"/>
    <w:rsid w:val="00D96C9E"/>
    <w:rPr>
      <w:rFonts w:ascii="Calibri" w:hAnsi="Calibri"/>
      <w:sz w:val="20"/>
      <w:szCs w:val="20"/>
      <w:lang w:val="en-US" w:bidi="en-US"/>
    </w:rPr>
  </w:style>
  <w:style w:type="character" w:customStyle="1" w:styleId="CommentTextChar">
    <w:name w:val="Comment Text Char"/>
    <w:basedOn w:val="DefaultParagraphFont"/>
    <w:link w:val="CommentText"/>
    <w:uiPriority w:val="99"/>
    <w:rsid w:val="00D96C9E"/>
    <w:rPr>
      <w:rFonts w:ascii="Calibri" w:hAnsi="Calibri"/>
      <w:lang w:val="en-US" w:eastAsia="en-US" w:bidi="en-US"/>
    </w:rPr>
  </w:style>
  <w:style w:type="character" w:styleId="PlaceholderText">
    <w:name w:val="Placeholder Text"/>
    <w:basedOn w:val="DefaultParagraphFont"/>
    <w:uiPriority w:val="99"/>
    <w:semiHidden/>
    <w:rsid w:val="00D96C9E"/>
    <w:rPr>
      <w:color w:val="808080"/>
    </w:rPr>
  </w:style>
  <w:style w:type="paragraph" w:styleId="BalloonText">
    <w:name w:val="Balloon Text"/>
    <w:basedOn w:val="Normal"/>
    <w:link w:val="BalloonTextChar"/>
    <w:uiPriority w:val="99"/>
    <w:semiHidden/>
    <w:unhideWhenUsed/>
    <w:rsid w:val="00D96C9E"/>
    <w:rPr>
      <w:rFonts w:ascii="Tahoma" w:hAnsi="Tahoma" w:cs="Tahoma"/>
      <w:sz w:val="16"/>
      <w:szCs w:val="16"/>
    </w:rPr>
  </w:style>
  <w:style w:type="character" w:customStyle="1" w:styleId="BalloonTextChar">
    <w:name w:val="Balloon Text Char"/>
    <w:basedOn w:val="DefaultParagraphFont"/>
    <w:link w:val="BalloonText"/>
    <w:uiPriority w:val="99"/>
    <w:semiHidden/>
    <w:rsid w:val="00D96C9E"/>
    <w:rPr>
      <w:rFonts w:ascii="Tahoma" w:hAnsi="Tahoma" w:cs="Tahoma"/>
      <w:sz w:val="16"/>
      <w:szCs w:val="16"/>
      <w:lang w:val="en-GB" w:eastAsia="en-US"/>
    </w:rPr>
  </w:style>
  <w:style w:type="character" w:styleId="CommentReference">
    <w:name w:val="annotation reference"/>
    <w:basedOn w:val="DefaultParagraphFont"/>
    <w:uiPriority w:val="99"/>
    <w:semiHidden/>
    <w:unhideWhenUsed/>
    <w:rsid w:val="00EA2C81"/>
    <w:rPr>
      <w:sz w:val="16"/>
      <w:szCs w:val="16"/>
    </w:rPr>
  </w:style>
  <w:style w:type="paragraph" w:styleId="CommentSubject">
    <w:name w:val="annotation subject"/>
    <w:basedOn w:val="CommentText"/>
    <w:next w:val="CommentText"/>
    <w:link w:val="CommentSubjectChar"/>
    <w:uiPriority w:val="99"/>
    <w:semiHidden/>
    <w:unhideWhenUsed/>
    <w:rsid w:val="00EA2C81"/>
    <w:rPr>
      <w:rFonts w:ascii="Times New Roman" w:hAnsi="Times New Roman"/>
      <w:b/>
      <w:bCs/>
      <w:lang w:val="en-GB" w:bidi="ar-SA"/>
    </w:rPr>
  </w:style>
  <w:style w:type="character" w:customStyle="1" w:styleId="CommentSubjectChar">
    <w:name w:val="Comment Subject Char"/>
    <w:basedOn w:val="CommentTextChar"/>
    <w:link w:val="CommentSubject"/>
    <w:uiPriority w:val="99"/>
    <w:semiHidden/>
    <w:rsid w:val="00EA2C81"/>
    <w:rPr>
      <w:rFonts w:ascii="Calibri" w:hAnsi="Calibri"/>
      <w:b/>
      <w:bCs/>
      <w:lang w:val="en-GB"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zelena-akcij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FB5C8-9FD1-499A-9677-E5E498BE8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5953</Words>
  <Characters>35760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blabla</Company>
  <LinksUpToDate>false</LinksUpToDate>
  <CharactersWithSpaces>41630</CharactersWithSpaces>
  <SharedDoc>false</SharedDoc>
  <HLinks>
    <vt:vector size="6" baseType="variant">
      <vt:variant>
        <vt:i4>5898245</vt:i4>
      </vt:variant>
      <vt:variant>
        <vt:i4>0</vt:i4>
      </vt:variant>
      <vt:variant>
        <vt:i4>0</vt:i4>
      </vt:variant>
      <vt:variant>
        <vt:i4>5</vt:i4>
      </vt:variant>
      <vt:variant>
        <vt:lpwstr>http://www.zelena-akcija.hr/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c:creator>
  <cp:lastModifiedBy>Marko Kosak</cp:lastModifiedBy>
  <cp:revision>7</cp:revision>
  <dcterms:created xsi:type="dcterms:W3CDTF">2015-10-13T14:30:00Z</dcterms:created>
  <dcterms:modified xsi:type="dcterms:W3CDTF">2015-10-15T10:41:00Z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